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012AB" w:rsidRPr="00062E1C" w14:paraId="5A930575" w14:textId="77777777" w:rsidTr="00BA6876">
        <w:tc>
          <w:tcPr>
            <w:tcW w:w="2263" w:type="dxa"/>
          </w:tcPr>
          <w:p w14:paraId="2026F26E" w14:textId="5695190F" w:rsidR="00C012AB" w:rsidRPr="00062E1C" w:rsidRDefault="00C012AB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6753" w:type="dxa"/>
            <w:vMerge w:val="restart"/>
          </w:tcPr>
          <w:p w14:paraId="112F31B7" w14:textId="31BEFD29" w:rsidR="00C012AB" w:rsidRPr="00062E1C" w:rsidRDefault="00C012AB" w:rsidP="00BA6876">
            <w:pPr>
              <w:jc w:val="center"/>
              <w:rPr>
                <w:rFonts w:ascii="Cambria" w:hAnsi="Cambria"/>
                <w:b/>
                <w:bCs/>
              </w:rPr>
            </w:pPr>
            <w:r w:rsidRPr="00C012AB">
              <w:rPr>
                <w:rFonts w:ascii="Cambria" w:hAnsi="Cambria"/>
                <w:b/>
                <w:bCs/>
              </w:rPr>
              <w:t>Visual encoding of data</w:t>
            </w:r>
          </w:p>
        </w:tc>
      </w:tr>
      <w:tr w:rsidR="00C012AB" w:rsidRPr="00062E1C" w14:paraId="6494B6B0" w14:textId="77777777" w:rsidTr="00BA6876">
        <w:tc>
          <w:tcPr>
            <w:tcW w:w="2263" w:type="dxa"/>
          </w:tcPr>
          <w:p w14:paraId="55453A63" w14:textId="2C1CA6B3" w:rsidR="00C012AB" w:rsidRPr="00062E1C" w:rsidRDefault="00C012AB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20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BDDBC7C" w14:textId="77777777" w:rsidR="00C012AB" w:rsidRPr="00062E1C" w:rsidRDefault="00C012AB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38316F61" w14:textId="77777777" w:rsidR="00C012AB" w:rsidRPr="00062E1C" w:rsidRDefault="00C012AB" w:rsidP="00C012AB">
      <w:pPr>
        <w:spacing w:after="0" w:line="240" w:lineRule="auto"/>
        <w:rPr>
          <w:rFonts w:ascii="Cambria" w:hAnsi="Cambria"/>
        </w:rPr>
      </w:pPr>
    </w:p>
    <w:p w14:paraId="08220F9F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1DBE0208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How does the human visual system process visual variables?</w:t>
      </w:r>
    </w:p>
    <w:p w14:paraId="4633541A" w14:textId="29835C52" w:rsidR="002C3209" w:rsidRDefault="002C3209" w:rsidP="002C3209">
      <w:pPr>
        <w:spacing w:after="0" w:line="240" w:lineRule="auto"/>
        <w:ind w:left="720"/>
        <w:rPr>
          <w:rFonts w:ascii="Cambria" w:hAnsi="Cambria"/>
        </w:rPr>
      </w:pPr>
      <w:r w:rsidRPr="002C3209">
        <w:rPr>
          <w:rFonts w:ascii="Cambria" w:hAnsi="Cambria"/>
        </w:rPr>
        <w:t xml:space="preserve">The human visual system quickly interprets visual variables such as </w:t>
      </w:r>
      <w:proofErr w:type="spellStart"/>
      <w:r w:rsidRPr="002C3209">
        <w:rPr>
          <w:rFonts w:ascii="Cambria" w:hAnsi="Cambria"/>
        </w:rPr>
        <w:t>color</w:t>
      </w:r>
      <w:proofErr w:type="spellEnd"/>
      <w:r w:rsidRPr="002C3209">
        <w:rPr>
          <w:rFonts w:ascii="Cambria" w:hAnsi="Cambria"/>
        </w:rPr>
        <w:t>, size, shape, and position, enabling fast pattern recognition and comparison.</w:t>
      </w:r>
    </w:p>
    <w:p w14:paraId="6F4E3CBC" w14:textId="77777777" w:rsidR="002C3209" w:rsidRPr="00C012AB" w:rsidRDefault="002C3209" w:rsidP="002C3209">
      <w:pPr>
        <w:spacing w:after="0" w:line="240" w:lineRule="auto"/>
        <w:ind w:left="720"/>
        <w:rPr>
          <w:rFonts w:ascii="Cambria" w:hAnsi="Cambria"/>
        </w:rPr>
      </w:pPr>
    </w:p>
    <w:p w14:paraId="1D60BA62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Why is improper encoding misleading in analytics?</w:t>
      </w:r>
    </w:p>
    <w:p w14:paraId="7C31680A" w14:textId="23AB3796" w:rsidR="002C3209" w:rsidRDefault="002C3209" w:rsidP="002C3209">
      <w:pPr>
        <w:spacing w:after="0" w:line="240" w:lineRule="auto"/>
        <w:ind w:left="720"/>
        <w:rPr>
          <w:rFonts w:ascii="Cambria" w:hAnsi="Cambria"/>
        </w:rPr>
      </w:pPr>
      <w:r w:rsidRPr="002C3209">
        <w:rPr>
          <w:rFonts w:ascii="Cambria" w:hAnsi="Cambria"/>
        </w:rPr>
        <w:t>Improper encoding can distort perception, hide critical insights, and lead to incorrect conclusions and decisions.</w:t>
      </w:r>
    </w:p>
    <w:p w14:paraId="3CBB45EF" w14:textId="77777777" w:rsidR="002C3209" w:rsidRPr="00C012AB" w:rsidRDefault="002C3209" w:rsidP="002C3209">
      <w:pPr>
        <w:spacing w:after="0" w:line="240" w:lineRule="auto"/>
        <w:rPr>
          <w:rFonts w:ascii="Cambria" w:hAnsi="Cambria"/>
        </w:rPr>
      </w:pPr>
    </w:p>
    <w:p w14:paraId="22DB1466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What are perceptual limitations in visualization?</w:t>
      </w:r>
    </w:p>
    <w:p w14:paraId="1F74ECAB" w14:textId="3D8C7149" w:rsidR="002C3209" w:rsidRDefault="002C3209" w:rsidP="002C3209">
      <w:pPr>
        <w:spacing w:after="0" w:line="240" w:lineRule="auto"/>
        <w:ind w:left="720"/>
        <w:rPr>
          <w:rFonts w:ascii="Cambria" w:hAnsi="Cambria"/>
        </w:rPr>
      </w:pPr>
      <w:r w:rsidRPr="002C3209">
        <w:rPr>
          <w:rFonts w:ascii="Cambria" w:hAnsi="Cambria"/>
        </w:rPr>
        <w:t xml:space="preserve">Humans have limited ability to distinguish similar </w:t>
      </w:r>
      <w:proofErr w:type="spellStart"/>
      <w:r w:rsidRPr="002C3209">
        <w:rPr>
          <w:rFonts w:ascii="Cambria" w:hAnsi="Cambria"/>
        </w:rPr>
        <w:t>colors</w:t>
      </w:r>
      <w:proofErr w:type="spellEnd"/>
      <w:r w:rsidRPr="002C3209">
        <w:rPr>
          <w:rFonts w:ascii="Cambria" w:hAnsi="Cambria"/>
        </w:rPr>
        <w:t>, small size differences, and complex visual patterns in dense data.</w:t>
      </w:r>
    </w:p>
    <w:p w14:paraId="7EC0D7DE" w14:textId="77777777" w:rsidR="002C3209" w:rsidRPr="00C012AB" w:rsidRDefault="002C3209" w:rsidP="002C3209">
      <w:pPr>
        <w:spacing w:after="0" w:line="240" w:lineRule="auto"/>
        <w:ind w:left="720"/>
        <w:rPr>
          <w:rFonts w:ascii="Cambria" w:hAnsi="Cambria"/>
        </w:rPr>
      </w:pPr>
    </w:p>
    <w:p w14:paraId="49AA5BE1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 xml:space="preserve">How does </w:t>
      </w:r>
      <w:proofErr w:type="spellStart"/>
      <w:r w:rsidRPr="00C012AB">
        <w:rPr>
          <w:rFonts w:ascii="Cambria" w:hAnsi="Cambria"/>
        </w:rPr>
        <w:t>color</w:t>
      </w:r>
      <w:proofErr w:type="spellEnd"/>
      <w:r w:rsidRPr="00C012AB">
        <w:rPr>
          <w:rFonts w:ascii="Cambria" w:hAnsi="Cambria"/>
        </w:rPr>
        <w:t xml:space="preserve"> choice affect interpretation?</w:t>
      </w:r>
    </w:p>
    <w:p w14:paraId="282C2971" w14:textId="38AFA079" w:rsidR="002C3209" w:rsidRDefault="002C3209" w:rsidP="002C3209">
      <w:pPr>
        <w:spacing w:after="0" w:line="240" w:lineRule="auto"/>
        <w:ind w:left="720"/>
        <w:rPr>
          <w:rFonts w:ascii="Cambria" w:hAnsi="Cambria"/>
        </w:rPr>
      </w:pPr>
      <w:proofErr w:type="spellStart"/>
      <w:r w:rsidRPr="002C3209">
        <w:rPr>
          <w:rFonts w:ascii="Cambria" w:hAnsi="Cambria"/>
        </w:rPr>
        <w:t>Color</w:t>
      </w:r>
      <w:proofErr w:type="spellEnd"/>
      <w:r w:rsidRPr="002C3209">
        <w:rPr>
          <w:rFonts w:ascii="Cambria" w:hAnsi="Cambria"/>
        </w:rPr>
        <w:t xml:space="preserve"> influences attention and meaning; poor choices can confuse users, while good choices improve clarity and understanding.</w:t>
      </w:r>
    </w:p>
    <w:p w14:paraId="08745F4F" w14:textId="77777777" w:rsidR="002C3209" w:rsidRPr="00C012AB" w:rsidRDefault="002C3209" w:rsidP="002C3209">
      <w:pPr>
        <w:spacing w:after="0" w:line="240" w:lineRule="auto"/>
        <w:ind w:left="720"/>
        <w:rPr>
          <w:rFonts w:ascii="Cambria" w:hAnsi="Cambria"/>
        </w:rPr>
      </w:pPr>
    </w:p>
    <w:p w14:paraId="2793A3E0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Why should AI dashboards be perceptually optimized?</w:t>
      </w:r>
    </w:p>
    <w:p w14:paraId="05EA09CD" w14:textId="4678A356" w:rsidR="002C3209" w:rsidRDefault="002C3209" w:rsidP="002C3209">
      <w:pPr>
        <w:spacing w:after="0" w:line="240" w:lineRule="auto"/>
        <w:ind w:left="720"/>
        <w:rPr>
          <w:rFonts w:ascii="Cambria" w:hAnsi="Cambria"/>
        </w:rPr>
      </w:pPr>
      <w:r w:rsidRPr="002C3209">
        <w:rPr>
          <w:rFonts w:ascii="Cambria" w:hAnsi="Cambria"/>
        </w:rPr>
        <w:t>Perceptually optimized dashboards reduce cognitive load, improve trust, and ensure correct interpretation of AI insights.</w:t>
      </w:r>
    </w:p>
    <w:p w14:paraId="54796C6C" w14:textId="77777777" w:rsidR="002C3209" w:rsidRPr="00C012AB" w:rsidRDefault="002C3209" w:rsidP="002C3209">
      <w:pPr>
        <w:spacing w:after="0" w:line="240" w:lineRule="auto"/>
        <w:ind w:left="720"/>
        <w:rPr>
          <w:rFonts w:ascii="Cambria" w:hAnsi="Cambria"/>
        </w:rPr>
      </w:pPr>
    </w:p>
    <w:p w14:paraId="660299BF" w14:textId="77777777" w:rsidR="00C012AB" w:rsidRDefault="00C012AB" w:rsidP="00C012AB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To apply effective visual encoding principles for meaningful data communication.</w:t>
      </w:r>
    </w:p>
    <w:p w14:paraId="54172CA1" w14:textId="77777777" w:rsidR="002C3209" w:rsidRPr="00C012AB" w:rsidRDefault="002C3209" w:rsidP="00C012AB">
      <w:pPr>
        <w:spacing w:after="0" w:line="240" w:lineRule="auto"/>
        <w:rPr>
          <w:rFonts w:ascii="Cambria" w:hAnsi="Cambria"/>
          <w:b/>
          <w:bCs/>
        </w:rPr>
      </w:pPr>
    </w:p>
    <w:p w14:paraId="0CD11845" w14:textId="77777777" w:rsid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A city traffic department </w:t>
      </w:r>
      <w:proofErr w:type="spellStart"/>
      <w:r w:rsidRPr="00C012AB">
        <w:rPr>
          <w:rFonts w:ascii="Cambria" w:hAnsi="Cambria"/>
          <w:b/>
          <w:bCs/>
        </w:rPr>
        <w:t>analyzes</w:t>
      </w:r>
      <w:proofErr w:type="spellEnd"/>
      <w:r w:rsidRPr="00C012AB">
        <w:rPr>
          <w:rFonts w:ascii="Cambria" w:hAnsi="Cambria"/>
          <w:b/>
          <w:bCs/>
        </w:rPr>
        <w:t xml:space="preserve"> accident data to identify high-risk zones and accident severity patterns.</w:t>
      </w:r>
    </w:p>
    <w:p w14:paraId="6A492693" w14:textId="77777777" w:rsidR="002C3209" w:rsidRPr="00C012AB" w:rsidRDefault="002C3209" w:rsidP="00C012AB">
      <w:pPr>
        <w:spacing w:after="0" w:line="240" w:lineRule="auto"/>
        <w:rPr>
          <w:rFonts w:ascii="Cambria" w:hAnsi="Cambria"/>
          <w:b/>
          <w:bCs/>
        </w:rPr>
      </w:pPr>
    </w:p>
    <w:p w14:paraId="4C9CC769" w14:textId="77777777" w:rsidR="00C012AB" w:rsidRDefault="00C012AB" w:rsidP="00C012AB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 xml:space="preserve">IN-LAB TASKS (Using R Language) </w:t>
      </w:r>
      <w:r w:rsidRPr="00C012AB">
        <w:rPr>
          <w:rFonts w:ascii="Cambria" w:hAnsi="Cambria"/>
        </w:rPr>
        <w:t xml:space="preserve">• Encode severity using </w:t>
      </w:r>
      <w:proofErr w:type="spellStart"/>
      <w:r w:rsidRPr="00C012AB">
        <w:rPr>
          <w:rFonts w:ascii="Cambria" w:hAnsi="Cambria"/>
        </w:rPr>
        <w:t>color</w:t>
      </w:r>
      <w:proofErr w:type="spellEnd"/>
      <w:r w:rsidRPr="00C012AB">
        <w:rPr>
          <w:rFonts w:ascii="Cambria" w:hAnsi="Cambria"/>
        </w:rPr>
        <w:t xml:space="preserve"> gradients • Represent accident frequency using size • Use shape to indicate accident type</w:t>
      </w:r>
    </w:p>
    <w:p w14:paraId="746DBAA1" w14:textId="77777777" w:rsidR="002C3209" w:rsidRDefault="002C3209" w:rsidP="00C012AB">
      <w:pPr>
        <w:spacing w:after="0" w:line="240" w:lineRule="auto"/>
        <w:rPr>
          <w:rFonts w:ascii="Cambria" w:hAnsi="Cambria"/>
        </w:rPr>
      </w:pPr>
    </w:p>
    <w:p w14:paraId="2F154435" w14:textId="5415101C" w:rsidR="002C3209" w:rsidRDefault="002C3209" w:rsidP="00C012AB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CODE:</w:t>
      </w:r>
    </w:p>
    <w:p w14:paraId="7D4E437F" w14:textId="43952808" w:rsidR="002C3209" w:rsidRDefault="002C3209" w:rsidP="00C012AB">
      <w:pPr>
        <w:spacing w:after="0" w:line="240" w:lineRule="auto"/>
        <w:rPr>
          <w:rFonts w:ascii="Cambria" w:hAnsi="Cambria"/>
        </w:rPr>
      </w:pPr>
      <w:r w:rsidRPr="002C3209">
        <w:rPr>
          <w:rFonts w:ascii="Cambria" w:hAnsi="Cambria"/>
        </w:rPr>
        <w:drawing>
          <wp:inline distT="0" distB="0" distL="0" distR="0" wp14:anchorId="4C2D8BD4" wp14:editId="4D7FEFBB">
            <wp:extent cx="4099612" cy="3263429"/>
            <wp:effectExtent l="0" t="0" r="0" b="0"/>
            <wp:docPr id="176780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04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4313" cy="326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AE54" w14:textId="77777777" w:rsidR="002C3209" w:rsidRDefault="002C3209" w:rsidP="00C012AB">
      <w:pPr>
        <w:spacing w:after="0" w:line="240" w:lineRule="auto"/>
        <w:rPr>
          <w:rFonts w:ascii="Cambria" w:hAnsi="Cambria"/>
        </w:rPr>
      </w:pPr>
    </w:p>
    <w:p w14:paraId="78191EEC" w14:textId="014023AE" w:rsidR="002C3209" w:rsidRDefault="002C3209" w:rsidP="00C012AB">
      <w:pPr>
        <w:spacing w:after="0" w:line="240" w:lineRule="auto"/>
        <w:rPr>
          <w:rFonts w:ascii="Cambria" w:hAnsi="Cambria"/>
        </w:rPr>
      </w:pPr>
      <w:r w:rsidRPr="002C3209">
        <w:rPr>
          <w:rFonts w:ascii="Cambria" w:hAnsi="Cambria"/>
        </w:rPr>
        <w:lastRenderedPageBreak/>
        <w:drawing>
          <wp:inline distT="0" distB="0" distL="0" distR="0" wp14:anchorId="14A58CFA" wp14:editId="0C3C890D">
            <wp:extent cx="5731510" cy="3182620"/>
            <wp:effectExtent l="0" t="0" r="2540" b="0"/>
            <wp:docPr id="85336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66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7C5F" w14:textId="77777777" w:rsidR="002C3209" w:rsidRDefault="002C3209" w:rsidP="00C012AB">
      <w:pPr>
        <w:spacing w:after="0" w:line="240" w:lineRule="auto"/>
        <w:rPr>
          <w:rFonts w:ascii="Cambria" w:hAnsi="Cambria"/>
        </w:rPr>
      </w:pPr>
    </w:p>
    <w:p w14:paraId="2A608A02" w14:textId="77777777" w:rsidR="002C3209" w:rsidRDefault="002C3209" w:rsidP="00C012AB">
      <w:pPr>
        <w:spacing w:after="0" w:line="240" w:lineRule="auto"/>
        <w:rPr>
          <w:rFonts w:ascii="Cambria" w:hAnsi="Cambria"/>
        </w:rPr>
      </w:pPr>
    </w:p>
    <w:p w14:paraId="649A9014" w14:textId="77777777" w:rsidR="002C3209" w:rsidRDefault="002C3209" w:rsidP="00C012AB">
      <w:pPr>
        <w:spacing w:after="0" w:line="240" w:lineRule="auto"/>
        <w:rPr>
          <w:rFonts w:ascii="Cambria" w:hAnsi="Cambria"/>
        </w:rPr>
      </w:pPr>
    </w:p>
    <w:p w14:paraId="5640451F" w14:textId="77777777" w:rsidR="002C3209" w:rsidRDefault="002C3209" w:rsidP="00C012AB">
      <w:pPr>
        <w:spacing w:after="0" w:line="240" w:lineRule="auto"/>
        <w:rPr>
          <w:rFonts w:ascii="Cambria" w:hAnsi="Cambria"/>
        </w:rPr>
      </w:pPr>
    </w:p>
    <w:p w14:paraId="33253F28" w14:textId="77777777" w:rsidR="002C3209" w:rsidRDefault="002C3209" w:rsidP="00C012AB">
      <w:pPr>
        <w:spacing w:after="0" w:line="240" w:lineRule="auto"/>
        <w:rPr>
          <w:rFonts w:ascii="Cambria" w:hAnsi="Cambria"/>
        </w:rPr>
      </w:pPr>
    </w:p>
    <w:p w14:paraId="649A0AA2" w14:textId="77777777" w:rsidR="002C3209" w:rsidRDefault="002C3209" w:rsidP="00C012AB">
      <w:pPr>
        <w:spacing w:after="0" w:line="240" w:lineRule="auto"/>
        <w:rPr>
          <w:rFonts w:ascii="Cambria" w:hAnsi="Cambria"/>
        </w:rPr>
      </w:pPr>
    </w:p>
    <w:p w14:paraId="27A3875F" w14:textId="77777777" w:rsidR="002C3209" w:rsidRDefault="002C3209" w:rsidP="00C012AB">
      <w:pPr>
        <w:spacing w:after="0" w:line="240" w:lineRule="auto"/>
        <w:rPr>
          <w:rFonts w:ascii="Cambria" w:hAnsi="Cambria"/>
        </w:rPr>
      </w:pPr>
    </w:p>
    <w:p w14:paraId="50438E55" w14:textId="0496C8D7" w:rsidR="002C3209" w:rsidRPr="002C3209" w:rsidRDefault="002C3209" w:rsidP="00C012AB">
      <w:pPr>
        <w:spacing w:after="0" w:line="240" w:lineRule="auto"/>
        <w:rPr>
          <w:rFonts w:ascii="Cambria" w:hAnsi="Cambria"/>
        </w:rPr>
      </w:pPr>
      <w:r w:rsidRPr="002C3209">
        <w:rPr>
          <w:rFonts w:ascii="Cambria" w:hAnsi="Cambria"/>
        </w:rPr>
        <w:drawing>
          <wp:inline distT="0" distB="0" distL="0" distR="0" wp14:anchorId="5F059F96" wp14:editId="3931CC0F">
            <wp:extent cx="5731510" cy="4516120"/>
            <wp:effectExtent l="0" t="0" r="2540" b="0"/>
            <wp:docPr id="208400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01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F7C3" w14:textId="77777777" w:rsid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lastRenderedPageBreak/>
        <w:t>POST-LAB QUESTIONS</w:t>
      </w:r>
    </w:p>
    <w:p w14:paraId="5E5A7139" w14:textId="77777777" w:rsidR="003962F0" w:rsidRPr="00C012AB" w:rsidRDefault="003962F0" w:rsidP="00C012AB">
      <w:pPr>
        <w:spacing w:after="0" w:line="240" w:lineRule="auto"/>
        <w:rPr>
          <w:rFonts w:ascii="Cambria" w:hAnsi="Cambria"/>
          <w:b/>
          <w:bCs/>
        </w:rPr>
      </w:pPr>
    </w:p>
    <w:p w14:paraId="4CAAAF43" w14:textId="77777777" w:rsidR="002C3209" w:rsidRDefault="00C012AB" w:rsidP="002C3209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Which visual variable best conveys severity and why?</w:t>
      </w:r>
    </w:p>
    <w:p w14:paraId="6BB58F28" w14:textId="19EA4D78" w:rsidR="002C3209" w:rsidRPr="002C3209" w:rsidRDefault="002C3209" w:rsidP="002C3209">
      <w:pPr>
        <w:spacing w:after="0" w:line="240" w:lineRule="auto"/>
        <w:ind w:left="720"/>
        <w:rPr>
          <w:rFonts w:ascii="Cambria" w:hAnsi="Cambria"/>
        </w:rPr>
      </w:pPr>
      <w:proofErr w:type="spellStart"/>
      <w:r>
        <w:t>Color</w:t>
      </w:r>
      <w:proofErr w:type="spellEnd"/>
      <w:r>
        <w:t xml:space="preserve"> best conveys severity because it is immediately noticeable and intuitively associated with danger levels.</w:t>
      </w:r>
    </w:p>
    <w:p w14:paraId="078E01B0" w14:textId="77777777" w:rsidR="002C3209" w:rsidRPr="00C012AB" w:rsidRDefault="002C3209" w:rsidP="002C3209">
      <w:pPr>
        <w:spacing w:after="0" w:line="240" w:lineRule="auto"/>
        <w:ind w:left="720"/>
        <w:rPr>
          <w:rFonts w:ascii="Cambria" w:hAnsi="Cambria"/>
        </w:rPr>
      </w:pPr>
    </w:p>
    <w:p w14:paraId="7A0FDE7B" w14:textId="77777777" w:rsidR="002C3209" w:rsidRDefault="00C012AB" w:rsidP="002C3209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How can poor encoding mislead policy decisions?</w:t>
      </w:r>
    </w:p>
    <w:p w14:paraId="4CAA07E3" w14:textId="6FB7D268" w:rsidR="002C3209" w:rsidRPr="002C3209" w:rsidRDefault="002C3209" w:rsidP="002C3209">
      <w:pPr>
        <w:spacing w:after="0" w:line="240" w:lineRule="auto"/>
        <w:ind w:left="720"/>
        <w:rPr>
          <w:rFonts w:ascii="Cambria" w:hAnsi="Cambria"/>
        </w:rPr>
      </w:pPr>
      <w:r>
        <w:t>Poor encoding may hide high-risk zones or exaggerate minor issues, leading to ineffective or unsafe policy actions.</w:t>
      </w:r>
    </w:p>
    <w:p w14:paraId="3851FD5E" w14:textId="77777777" w:rsidR="002C3209" w:rsidRPr="00C012AB" w:rsidRDefault="002C3209" w:rsidP="002C3209">
      <w:pPr>
        <w:spacing w:after="0" w:line="240" w:lineRule="auto"/>
        <w:ind w:left="720"/>
        <w:rPr>
          <w:rFonts w:ascii="Cambria" w:hAnsi="Cambria"/>
        </w:rPr>
      </w:pPr>
    </w:p>
    <w:p w14:paraId="0C4BBE2B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 xml:space="preserve">What precautions should be taken for </w:t>
      </w:r>
      <w:proofErr w:type="spellStart"/>
      <w:r w:rsidRPr="00C012AB">
        <w:rPr>
          <w:rFonts w:ascii="Cambria" w:hAnsi="Cambria"/>
        </w:rPr>
        <w:t>color-blind</w:t>
      </w:r>
      <w:proofErr w:type="spellEnd"/>
      <w:r w:rsidRPr="00C012AB">
        <w:rPr>
          <w:rFonts w:ascii="Cambria" w:hAnsi="Cambria"/>
        </w:rPr>
        <w:t xml:space="preserve"> users?</w:t>
      </w:r>
    </w:p>
    <w:p w14:paraId="1096EAC5" w14:textId="7B98EAD5" w:rsidR="002C3209" w:rsidRDefault="002C3209" w:rsidP="002C3209">
      <w:pPr>
        <w:spacing w:after="0" w:line="240" w:lineRule="auto"/>
        <w:ind w:left="720"/>
        <w:rPr>
          <w:rFonts w:ascii="Cambria" w:hAnsi="Cambria"/>
        </w:rPr>
      </w:pPr>
      <w:r w:rsidRPr="002C3209">
        <w:rPr>
          <w:rFonts w:ascii="Cambria" w:hAnsi="Cambria"/>
        </w:rPr>
        <w:t xml:space="preserve">Use </w:t>
      </w:r>
      <w:proofErr w:type="spellStart"/>
      <w:r w:rsidRPr="002C3209">
        <w:rPr>
          <w:rFonts w:ascii="Cambria" w:hAnsi="Cambria"/>
        </w:rPr>
        <w:t>color-blind</w:t>
      </w:r>
      <w:proofErr w:type="spellEnd"/>
      <w:r w:rsidRPr="002C3209">
        <w:rPr>
          <w:rFonts w:ascii="Cambria" w:hAnsi="Cambria"/>
        </w:rPr>
        <w:t xml:space="preserve">-safe palettes, combine </w:t>
      </w:r>
      <w:proofErr w:type="spellStart"/>
      <w:r w:rsidRPr="002C3209">
        <w:rPr>
          <w:rFonts w:ascii="Cambria" w:hAnsi="Cambria"/>
        </w:rPr>
        <w:t>color</w:t>
      </w:r>
      <w:proofErr w:type="spellEnd"/>
      <w:r w:rsidRPr="002C3209">
        <w:rPr>
          <w:rFonts w:ascii="Cambria" w:hAnsi="Cambria"/>
        </w:rPr>
        <w:t xml:space="preserve"> with size or shape, and avoid relying on </w:t>
      </w:r>
      <w:proofErr w:type="spellStart"/>
      <w:r w:rsidRPr="002C3209">
        <w:rPr>
          <w:rFonts w:ascii="Cambria" w:hAnsi="Cambria"/>
        </w:rPr>
        <w:t>color</w:t>
      </w:r>
      <w:proofErr w:type="spellEnd"/>
      <w:r w:rsidRPr="002C3209">
        <w:rPr>
          <w:rFonts w:ascii="Cambria" w:hAnsi="Cambria"/>
        </w:rPr>
        <w:t xml:space="preserve"> alone.</w:t>
      </w:r>
    </w:p>
    <w:p w14:paraId="6ED3BE29" w14:textId="77777777" w:rsidR="002C3209" w:rsidRPr="00C012AB" w:rsidRDefault="002C3209" w:rsidP="002C3209">
      <w:pPr>
        <w:spacing w:after="0" w:line="240" w:lineRule="auto"/>
        <w:ind w:left="720"/>
        <w:rPr>
          <w:rFonts w:ascii="Cambria" w:hAnsi="Cambria"/>
        </w:rPr>
      </w:pPr>
    </w:p>
    <w:p w14:paraId="6FB60763" w14:textId="77777777" w:rsidR="002C3209" w:rsidRDefault="00C012AB" w:rsidP="002C3209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How does visual encoding affect AI explainability?</w:t>
      </w:r>
    </w:p>
    <w:p w14:paraId="608AE11A" w14:textId="37AC7FF7" w:rsidR="002C3209" w:rsidRDefault="002C3209" w:rsidP="002C3209">
      <w:pPr>
        <w:spacing w:after="0" w:line="240" w:lineRule="auto"/>
        <w:ind w:left="720"/>
      </w:pPr>
      <w:r>
        <w:t>Effective encoding makes AI results more interpretable and transparent, improving user trust and understanding.</w:t>
      </w:r>
    </w:p>
    <w:p w14:paraId="3FE559A1" w14:textId="77777777" w:rsidR="002C3209" w:rsidRPr="002C3209" w:rsidRDefault="002C3209" w:rsidP="002C3209">
      <w:pPr>
        <w:spacing w:after="0" w:line="240" w:lineRule="auto"/>
        <w:ind w:left="720"/>
        <w:rPr>
          <w:rFonts w:ascii="Cambria" w:hAnsi="Cambria"/>
        </w:rPr>
      </w:pPr>
    </w:p>
    <w:p w14:paraId="1BAED03D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Suggest improvements for large-scale public dashboards.</w:t>
      </w:r>
    </w:p>
    <w:p w14:paraId="5153214A" w14:textId="77777777" w:rsidR="002C3209" w:rsidRPr="002C3209" w:rsidRDefault="002C3209" w:rsidP="002C3209">
      <w:pPr>
        <w:spacing w:after="0" w:line="240" w:lineRule="auto"/>
        <w:ind w:left="720"/>
        <w:rPr>
          <w:rFonts w:ascii="Cambria" w:hAnsi="Cambria"/>
        </w:rPr>
      </w:pPr>
      <w:r w:rsidRPr="002C3209">
        <w:rPr>
          <w:rFonts w:ascii="Cambria" w:hAnsi="Cambria"/>
        </w:rPr>
        <w:t xml:space="preserve">Interactive filters, simplified visuals, accessible </w:t>
      </w:r>
      <w:proofErr w:type="spellStart"/>
      <w:r w:rsidRPr="002C3209">
        <w:rPr>
          <w:rFonts w:ascii="Cambria" w:hAnsi="Cambria"/>
        </w:rPr>
        <w:t>color</w:t>
      </w:r>
      <w:proofErr w:type="spellEnd"/>
      <w:r w:rsidRPr="002C3209">
        <w:rPr>
          <w:rFonts w:ascii="Cambria" w:hAnsi="Cambria"/>
        </w:rPr>
        <w:t xml:space="preserve"> schemes, and responsive layouts improve usability.</w:t>
      </w:r>
    </w:p>
    <w:p w14:paraId="641C6DA1" w14:textId="7D30F104" w:rsidR="002C3209" w:rsidRDefault="002C3209" w:rsidP="002C3209">
      <w:pPr>
        <w:spacing w:after="0" w:line="240" w:lineRule="auto"/>
        <w:ind w:left="720"/>
        <w:rPr>
          <w:rFonts w:ascii="Cambria" w:hAnsi="Cambria"/>
        </w:rPr>
      </w:pPr>
      <w:r w:rsidRPr="002C3209">
        <w:rPr>
          <w:rFonts w:ascii="Cambria" w:hAnsi="Cambria"/>
        </w:rPr>
        <w:t> </w:t>
      </w:r>
    </w:p>
    <w:p w14:paraId="182442D2" w14:textId="77777777" w:rsidR="002C3209" w:rsidRDefault="002C3209" w:rsidP="002C3209">
      <w:pPr>
        <w:pStyle w:val="ListParagraph"/>
        <w:rPr>
          <w:rFonts w:ascii="Cambria" w:hAnsi="Cambria"/>
        </w:rPr>
      </w:pPr>
    </w:p>
    <w:p w14:paraId="7397A859" w14:textId="77777777" w:rsidR="00C012AB" w:rsidRPr="00C012AB" w:rsidRDefault="00C012AB" w:rsidP="002C3209">
      <w:pPr>
        <w:spacing w:after="0" w:line="240" w:lineRule="auto"/>
        <w:rPr>
          <w:rFonts w:ascii="Cambria" w:hAnsi="Cambria"/>
        </w:rPr>
      </w:pPr>
    </w:p>
    <w:p w14:paraId="1C777AF8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LEARNING OUTCOME: Students learn perceptually effective visual communication for AI systems.</w:t>
      </w:r>
    </w:p>
    <w:p w14:paraId="267191B8" w14:textId="77777777" w:rsid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6AA34158" w14:textId="77777777" w:rsidR="00C012AB" w:rsidRPr="00062E1C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70639D0D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C012AB" w:rsidRPr="00062E1C" w14:paraId="5851D300" w14:textId="77777777" w:rsidTr="00BA6876">
        <w:trPr>
          <w:trHeight w:val="417"/>
        </w:trPr>
        <w:tc>
          <w:tcPr>
            <w:tcW w:w="3075" w:type="dxa"/>
          </w:tcPr>
          <w:p w14:paraId="388CEDD7" w14:textId="77777777" w:rsidR="00C012AB" w:rsidRPr="00062E1C" w:rsidRDefault="00C012AB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18D1D29" w14:textId="77777777" w:rsidR="00C012AB" w:rsidRPr="00062E1C" w:rsidRDefault="00C012AB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DA46F61" w14:textId="77777777" w:rsidR="00C012AB" w:rsidRPr="00062E1C" w:rsidRDefault="00C012AB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C012AB" w:rsidRPr="00062E1C" w14:paraId="499D0DA9" w14:textId="77777777" w:rsidTr="00BA6876">
        <w:trPr>
          <w:trHeight w:val="336"/>
        </w:trPr>
        <w:tc>
          <w:tcPr>
            <w:tcW w:w="3075" w:type="dxa"/>
          </w:tcPr>
          <w:p w14:paraId="56187D17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0483D03F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4FD8C226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2B2551E4" w14:textId="77777777" w:rsidTr="00BA6876">
        <w:trPr>
          <w:trHeight w:val="399"/>
        </w:trPr>
        <w:tc>
          <w:tcPr>
            <w:tcW w:w="3075" w:type="dxa"/>
          </w:tcPr>
          <w:p w14:paraId="2921EEC7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5D20EBA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368BC585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56BF958F" w14:textId="77777777" w:rsidTr="00BA6876">
        <w:trPr>
          <w:trHeight w:val="399"/>
        </w:trPr>
        <w:tc>
          <w:tcPr>
            <w:tcW w:w="3075" w:type="dxa"/>
          </w:tcPr>
          <w:p w14:paraId="51C351BF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4D23F5E3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779CD5B6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360F2499" w14:textId="77777777" w:rsidTr="00BA6876">
        <w:trPr>
          <w:trHeight w:val="354"/>
        </w:trPr>
        <w:tc>
          <w:tcPr>
            <w:tcW w:w="3075" w:type="dxa"/>
          </w:tcPr>
          <w:p w14:paraId="0ED98544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49DA2DE9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522023ED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53668A7F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7DFBD1D4" w14:textId="77777777" w:rsidR="00C012AB" w:rsidRPr="00062E1C" w:rsidRDefault="00C012AB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40ADA076" w14:textId="77777777" w:rsidR="00C012AB" w:rsidRPr="00062E1C" w:rsidRDefault="00C012AB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5FF19ED0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734590EB" w14:textId="77777777" w:rsidTr="00BA6876">
        <w:trPr>
          <w:trHeight w:val="669"/>
        </w:trPr>
        <w:tc>
          <w:tcPr>
            <w:tcW w:w="4965" w:type="dxa"/>
            <w:gridSpan w:val="2"/>
          </w:tcPr>
          <w:p w14:paraId="1FDC0A6C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  <w:p w14:paraId="5788945E" w14:textId="77777777" w:rsidR="00C012AB" w:rsidRPr="00062E1C" w:rsidRDefault="00C012AB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DB0D0C3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4ED57D88" w14:textId="77777777" w:rsidR="00C012AB" w:rsidRPr="00062E1C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6F3DB57A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D67F8D1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C12832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2FB777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29E3E00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BD63E2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BADC5CB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489DDC8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0DFDC1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BCC7C27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C3B000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04439C96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0DADCE4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758EBB9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AF3C466" w14:textId="77777777" w:rsidR="00236C10" w:rsidRDefault="00236C10"/>
    <w:sectPr w:rsidR="00236C10" w:rsidSect="00C012AB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603E7"/>
    <w:multiLevelType w:val="multilevel"/>
    <w:tmpl w:val="EAD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D5F1D"/>
    <w:multiLevelType w:val="hybridMultilevel"/>
    <w:tmpl w:val="3B0CAC82"/>
    <w:lvl w:ilvl="0" w:tplc="BD82D830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5" w15:restartNumberingAfterBreak="0">
    <w:nsid w:val="46433AAE"/>
    <w:multiLevelType w:val="multilevel"/>
    <w:tmpl w:val="B8F0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9643A0"/>
    <w:multiLevelType w:val="hybridMultilevel"/>
    <w:tmpl w:val="1AAED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112700">
    <w:abstractNumId w:val="1"/>
  </w:num>
  <w:num w:numId="2" w16cid:durableId="1220704860">
    <w:abstractNumId w:val="4"/>
  </w:num>
  <w:num w:numId="3" w16cid:durableId="1912042048">
    <w:abstractNumId w:val="6"/>
  </w:num>
  <w:num w:numId="4" w16cid:durableId="294024550">
    <w:abstractNumId w:val="0"/>
  </w:num>
  <w:num w:numId="5" w16cid:durableId="917398923">
    <w:abstractNumId w:val="2"/>
  </w:num>
  <w:num w:numId="6" w16cid:durableId="653023290">
    <w:abstractNumId w:val="5"/>
  </w:num>
  <w:num w:numId="7" w16cid:durableId="1626619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AB"/>
    <w:rsid w:val="00236C10"/>
    <w:rsid w:val="002C3209"/>
    <w:rsid w:val="003962F0"/>
    <w:rsid w:val="007E0ED3"/>
    <w:rsid w:val="0083104D"/>
    <w:rsid w:val="00B21EE3"/>
    <w:rsid w:val="00C0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35A0A"/>
  <w15:chartTrackingRefBased/>
  <w15:docId w15:val="{7CD003BD-2415-4366-9E49-38A6673C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2A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A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01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12AB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012AB"/>
  </w:style>
  <w:style w:type="paragraph" w:customStyle="1" w:styleId="TableParagraph">
    <w:name w:val="Table Paragraph"/>
    <w:basedOn w:val="Normal"/>
    <w:uiPriority w:val="1"/>
    <w:qFormat/>
    <w:rsid w:val="00C012A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C01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2C32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8fb6945-7797-4306-adc1-1f0fc48eba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8D431E680FF4E9DADC51C91F2D6F2" ma:contentTypeVersion="4" ma:contentTypeDescription="Create a new document." ma:contentTypeScope="" ma:versionID="78d8e07dd45b85912701a8b624098187">
  <xsd:schema xmlns:xsd="http://www.w3.org/2001/XMLSchema" xmlns:xs="http://www.w3.org/2001/XMLSchema" xmlns:p="http://schemas.microsoft.com/office/2006/metadata/properties" xmlns:ns2="b8fb6945-7797-4306-adc1-1f0fc48ebadc" targetNamespace="http://schemas.microsoft.com/office/2006/metadata/properties" ma:root="true" ma:fieldsID="6fee9d0ec0b0748c4956e5de788382ac" ns2:_="">
    <xsd:import namespace="b8fb6945-7797-4306-adc1-1f0fc48ebad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fb6945-7797-4306-adc1-1f0fc48eba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EE47A6-1E02-471E-8D11-B055336113A8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2.xml><?xml version="1.0" encoding="utf-8"?>
<ds:datastoreItem xmlns:ds="http://schemas.openxmlformats.org/officeDocument/2006/customXml" ds:itemID="{29D53427-41EB-4BB6-93E5-B4DC14ACBB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4F3E3E-B1C7-4E00-B046-B07431ED23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fb6945-7797-4306-adc1-1f0fc48eb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Samyu Sam</cp:lastModifiedBy>
  <cp:revision>2</cp:revision>
  <dcterms:created xsi:type="dcterms:W3CDTF">2026-01-20T06:18:00Z</dcterms:created>
  <dcterms:modified xsi:type="dcterms:W3CDTF">2026-01-20T06:18:00Z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0x010100E268D431E680FF4E9DADC51C91F2D6F2</vt:lpwstr>
  </property>
</Properties>
</file>