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0D8456E" w14:textId="0EAEEB7B" w:rsidR="007F09FF" w:rsidRDefault="000129FF" w:rsidP="007F0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</w:p>
    <w:p w14:paraId="1457F2AA" w14:textId="16D1BB08" w:rsidR="007F09FF" w:rsidRDefault="007F09FF" w:rsidP="007F09FF">
      <w:pPr>
        <w:pStyle w:val="ListParagraph"/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</w:rPr>
        <w:t xml:space="preserve">Dashboards support strategic decision-making by </w:t>
      </w:r>
      <w:r w:rsidRPr="007F09FF">
        <w:rPr>
          <w:rFonts w:ascii="Cambria" w:hAnsi="Cambria"/>
          <w:b/>
          <w:bCs/>
        </w:rPr>
        <w:t>summarizing key data into actionable insights</w:t>
      </w:r>
      <w:r w:rsidRPr="007F09FF">
        <w:rPr>
          <w:rFonts w:ascii="Cambria" w:hAnsi="Cambria"/>
        </w:rPr>
        <w:t xml:space="preserve">. They help leaders quickly understand trends, compare performance across departments, detect issues early, and make </w:t>
      </w:r>
      <w:r w:rsidRPr="007F09FF">
        <w:rPr>
          <w:rFonts w:ascii="Cambria" w:hAnsi="Cambria"/>
          <w:b/>
          <w:bCs/>
        </w:rPr>
        <w:t>data-driven decisions</w:t>
      </w:r>
      <w:r w:rsidRPr="007F09FF">
        <w:rPr>
          <w:rFonts w:ascii="Cambria" w:hAnsi="Cambria"/>
        </w:rPr>
        <w:t xml:space="preserve"> instead of relying on assumptions.</w:t>
      </w:r>
    </w:p>
    <w:p w14:paraId="4C1F701D" w14:textId="77777777" w:rsidR="007F09FF" w:rsidRPr="007F09FF" w:rsidRDefault="007F09FF" w:rsidP="007F09FF">
      <w:pPr>
        <w:pStyle w:val="ListParagraph"/>
        <w:spacing w:after="0" w:line="240" w:lineRule="auto"/>
        <w:rPr>
          <w:rFonts w:ascii="Cambria" w:hAnsi="Cambria"/>
        </w:rPr>
      </w:pPr>
    </w:p>
    <w:p w14:paraId="54127592" w14:textId="77777777" w:rsidR="007F09FF" w:rsidRDefault="000129FF" w:rsidP="007F0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</w:p>
    <w:p w14:paraId="544C0BEA" w14:textId="334AB51A" w:rsidR="007F09FF" w:rsidRPr="007F09FF" w:rsidRDefault="007F09FF" w:rsidP="007F09FF">
      <w:pPr>
        <w:pStyle w:val="ListParagraph"/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</w:rPr>
        <w:t xml:space="preserve">In AI monitoring systems, dashboards act as a </w:t>
      </w:r>
      <w:r w:rsidRPr="007F09FF">
        <w:rPr>
          <w:rStyle w:val="Strong"/>
          <w:rFonts w:ascii="Cambria" w:eastAsiaTheme="majorEastAsia" w:hAnsi="Cambria"/>
        </w:rPr>
        <w:t>real-time control panel</w:t>
      </w:r>
      <w:r w:rsidRPr="007F09FF">
        <w:rPr>
          <w:rFonts w:ascii="Cambria" w:hAnsi="Cambria"/>
        </w:rPr>
        <w:t xml:space="preserve">. They track important AI outputs such as predictions, alerts, performance metrics, and anomalies. This helps stakeholders </w:t>
      </w:r>
      <w:r w:rsidRPr="007F09FF">
        <w:rPr>
          <w:rStyle w:val="Strong"/>
          <w:rFonts w:ascii="Cambria" w:eastAsiaTheme="majorEastAsia" w:hAnsi="Cambria"/>
        </w:rPr>
        <w:t>monitor system health</w:t>
      </w:r>
      <w:r w:rsidRPr="007F09FF">
        <w:rPr>
          <w:rFonts w:ascii="Cambria" w:hAnsi="Cambria"/>
        </w:rPr>
        <w:t>, verify results, and respond quickly when the AI system shows unusual patterns or errors.</w:t>
      </w:r>
    </w:p>
    <w:p w14:paraId="0819CF11" w14:textId="77777777" w:rsidR="007F09FF" w:rsidRPr="000129FF" w:rsidRDefault="007F09FF" w:rsidP="007F09FF">
      <w:pPr>
        <w:pStyle w:val="ListParagraph"/>
        <w:spacing w:after="0" w:line="240" w:lineRule="auto"/>
        <w:rPr>
          <w:rFonts w:ascii="Cambria" w:hAnsi="Cambria"/>
        </w:rPr>
      </w:pPr>
    </w:p>
    <w:p w14:paraId="38BA46D9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</w:p>
    <w:p w14:paraId="72A0DAFD" w14:textId="172C5421" w:rsidR="007F09FF" w:rsidRDefault="007F09FF" w:rsidP="007F09FF">
      <w:pPr>
        <w:pStyle w:val="ListParagraph"/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</w:rPr>
        <w:t xml:space="preserve">Interactivity is essential because users need to </w:t>
      </w:r>
      <w:r w:rsidRPr="007F09FF">
        <w:rPr>
          <w:rFonts w:ascii="Cambria" w:hAnsi="Cambria"/>
          <w:b/>
          <w:bCs/>
        </w:rPr>
        <w:t>explore data dynamically</w:t>
      </w:r>
      <w:r w:rsidRPr="007F09FF">
        <w:rPr>
          <w:rFonts w:ascii="Cambria" w:hAnsi="Cambria"/>
        </w:rPr>
        <w:t>. Features like filters, slicers, drill-down, and drill-through allow users to view insights by department, semester, or student level. This makes dashboards more useful for analysis and improves decision-making speed.</w:t>
      </w:r>
    </w:p>
    <w:p w14:paraId="38F3F933" w14:textId="77777777" w:rsidR="007F09FF" w:rsidRPr="000129FF" w:rsidRDefault="007F09FF" w:rsidP="007F09FF">
      <w:pPr>
        <w:pStyle w:val="ListParagraph"/>
        <w:spacing w:after="0" w:line="240" w:lineRule="auto"/>
        <w:rPr>
          <w:rFonts w:ascii="Cambria" w:hAnsi="Cambria"/>
        </w:rPr>
      </w:pPr>
    </w:p>
    <w:p w14:paraId="60CD58EC" w14:textId="77777777" w:rsidR="007F09FF" w:rsidRDefault="000129FF" w:rsidP="007F0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</w:p>
    <w:p w14:paraId="536378B2" w14:textId="3AF4EA4D" w:rsidR="007F09FF" w:rsidRPr="007F09FF" w:rsidRDefault="007F09FF" w:rsidP="007F09FF">
      <w:pPr>
        <w:pStyle w:val="ListParagraph"/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</w:rPr>
        <w:t xml:space="preserve">Cognitive overload happens when dashboards show </w:t>
      </w:r>
      <w:r w:rsidRPr="007F09FF">
        <w:rPr>
          <w:rStyle w:val="Strong"/>
          <w:rFonts w:ascii="Cambria" w:eastAsiaTheme="majorEastAsia" w:hAnsi="Cambria"/>
        </w:rPr>
        <w:t>too much information at once</w:t>
      </w:r>
      <w:r w:rsidRPr="007F09FF">
        <w:rPr>
          <w:rFonts w:ascii="Cambria" w:hAnsi="Cambria"/>
        </w:rPr>
        <w:t xml:space="preserve">, such as too many charts, </w:t>
      </w:r>
      <w:proofErr w:type="spellStart"/>
      <w:r w:rsidRPr="007F09FF">
        <w:rPr>
          <w:rFonts w:ascii="Cambria" w:hAnsi="Cambria"/>
        </w:rPr>
        <w:t>colors</w:t>
      </w:r>
      <w:proofErr w:type="spellEnd"/>
      <w:r w:rsidRPr="007F09FF">
        <w:rPr>
          <w:rFonts w:ascii="Cambria" w:hAnsi="Cambria"/>
        </w:rPr>
        <w:t xml:space="preserve">, or numbers. This makes it hard for users to focus and understand insights quickly. A good dashboard avoids overload by using </w:t>
      </w:r>
      <w:r w:rsidRPr="007F09FF">
        <w:rPr>
          <w:rStyle w:val="Strong"/>
          <w:rFonts w:ascii="Cambria" w:eastAsiaTheme="majorEastAsia" w:hAnsi="Cambria"/>
        </w:rPr>
        <w:t>simple layouts, clear KPIs, and meaningful visuals</w:t>
      </w:r>
      <w:r w:rsidRPr="007F09FF">
        <w:rPr>
          <w:rFonts w:ascii="Cambria" w:hAnsi="Cambria"/>
        </w:rPr>
        <w:t>.</w:t>
      </w:r>
    </w:p>
    <w:p w14:paraId="18343F60" w14:textId="77777777" w:rsidR="007F09FF" w:rsidRPr="000129FF" w:rsidRDefault="007F09FF" w:rsidP="007F09FF">
      <w:pPr>
        <w:pStyle w:val="ListParagraph"/>
        <w:spacing w:after="0" w:line="240" w:lineRule="auto"/>
        <w:rPr>
          <w:rFonts w:ascii="Cambria" w:hAnsi="Cambria"/>
        </w:rPr>
      </w:pPr>
    </w:p>
    <w:p w14:paraId="01CC656B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14:paraId="206F0FDE" w14:textId="77777777" w:rsidR="007F09FF" w:rsidRPr="007F09FF" w:rsidRDefault="007F09FF" w:rsidP="007F09FF">
      <w:pPr>
        <w:pStyle w:val="ListParagraph"/>
        <w:spacing w:after="0"/>
        <w:rPr>
          <w:rFonts w:ascii="Cambria" w:hAnsi="Cambria"/>
        </w:rPr>
      </w:pPr>
      <w:r w:rsidRPr="007F09FF">
        <w:rPr>
          <w:rFonts w:ascii="Cambria" w:hAnsi="Cambria"/>
        </w:rPr>
        <w:t xml:space="preserve">KPIs are derived by </w:t>
      </w:r>
      <w:r w:rsidRPr="007F09FF">
        <w:rPr>
          <w:rFonts w:ascii="Cambria" w:hAnsi="Cambria"/>
          <w:b/>
          <w:bCs/>
        </w:rPr>
        <w:t>processing raw data using calculations and aggregation methods</w:t>
      </w:r>
      <w:r w:rsidRPr="007F09FF">
        <w:rPr>
          <w:rFonts w:ascii="Cambria" w:hAnsi="Cambria"/>
        </w:rPr>
        <w:t>. For example:</w:t>
      </w:r>
    </w:p>
    <w:p w14:paraId="5FC07444" w14:textId="77777777" w:rsidR="007F09FF" w:rsidRPr="007F09FF" w:rsidRDefault="007F09FF" w:rsidP="007F09FF">
      <w:pPr>
        <w:pStyle w:val="ListParagraph"/>
        <w:numPr>
          <w:ilvl w:val="0"/>
          <w:numId w:val="5"/>
        </w:numPr>
        <w:spacing w:after="0"/>
        <w:rPr>
          <w:rFonts w:ascii="Cambria" w:hAnsi="Cambria"/>
        </w:rPr>
      </w:pPr>
      <w:r w:rsidRPr="007F09FF">
        <w:rPr>
          <w:rFonts w:ascii="Cambria" w:hAnsi="Cambria"/>
        </w:rPr>
        <w:t>Attendance KPI = average attendance percentage</w:t>
      </w:r>
    </w:p>
    <w:p w14:paraId="75392C84" w14:textId="77777777" w:rsidR="007F09FF" w:rsidRPr="007F09FF" w:rsidRDefault="007F09FF" w:rsidP="007F09FF">
      <w:pPr>
        <w:pStyle w:val="ListParagraph"/>
        <w:numPr>
          <w:ilvl w:val="0"/>
          <w:numId w:val="5"/>
        </w:numPr>
        <w:spacing w:after="0"/>
        <w:rPr>
          <w:rFonts w:ascii="Cambria" w:hAnsi="Cambria"/>
        </w:rPr>
      </w:pPr>
      <w:r w:rsidRPr="007F09FF">
        <w:rPr>
          <w:rFonts w:ascii="Cambria" w:hAnsi="Cambria"/>
        </w:rPr>
        <w:t>Performance KPI = average internal marks / grade distribution</w:t>
      </w:r>
    </w:p>
    <w:p w14:paraId="2D6DBFA9" w14:textId="77777777" w:rsidR="007F09FF" w:rsidRPr="007F09FF" w:rsidRDefault="007F09FF" w:rsidP="007F09FF">
      <w:pPr>
        <w:pStyle w:val="ListParagraph"/>
        <w:numPr>
          <w:ilvl w:val="0"/>
          <w:numId w:val="5"/>
        </w:numPr>
        <w:spacing w:after="0"/>
        <w:rPr>
          <w:rFonts w:ascii="Cambria" w:hAnsi="Cambria"/>
        </w:rPr>
      </w:pPr>
      <w:r w:rsidRPr="007F09FF">
        <w:rPr>
          <w:rFonts w:ascii="Cambria" w:hAnsi="Cambria"/>
        </w:rPr>
        <w:t>Risk KPI = count of students below a threshold (like attendance &lt; 75%)</w:t>
      </w:r>
    </w:p>
    <w:p w14:paraId="665E8C09" w14:textId="77777777" w:rsidR="007F09FF" w:rsidRPr="007F09FF" w:rsidRDefault="007F09FF" w:rsidP="007F09FF">
      <w:pPr>
        <w:pStyle w:val="ListParagraph"/>
        <w:spacing w:after="0"/>
        <w:rPr>
          <w:rFonts w:ascii="Cambria" w:hAnsi="Cambria"/>
        </w:rPr>
      </w:pPr>
      <w:r w:rsidRPr="007F09FF">
        <w:rPr>
          <w:rFonts w:ascii="Cambria" w:hAnsi="Cambria"/>
        </w:rPr>
        <w:t xml:space="preserve">These are created using formulas (like </w:t>
      </w:r>
      <w:r w:rsidRPr="007F09FF">
        <w:rPr>
          <w:rFonts w:ascii="Cambria" w:hAnsi="Cambria"/>
          <w:b/>
          <w:bCs/>
        </w:rPr>
        <w:t>DAX in Power BI</w:t>
      </w:r>
      <w:r w:rsidRPr="007F09FF">
        <w:rPr>
          <w:rFonts w:ascii="Cambria" w:hAnsi="Cambria"/>
        </w:rPr>
        <w:t>) to convert raw records into meaningful metrics.</w:t>
      </w:r>
    </w:p>
    <w:p w14:paraId="271E7061" w14:textId="77777777" w:rsidR="007F09FF" w:rsidRDefault="007F09FF" w:rsidP="007F09FF">
      <w:pPr>
        <w:pStyle w:val="ListParagraph"/>
        <w:spacing w:after="0" w:line="240" w:lineRule="auto"/>
        <w:rPr>
          <w:rFonts w:ascii="Cambria" w:hAnsi="Cambria"/>
        </w:rPr>
      </w:pPr>
    </w:p>
    <w:p w14:paraId="1CADD397" w14:textId="77777777" w:rsidR="007F09FF" w:rsidRPr="000129FF" w:rsidRDefault="007F09FF" w:rsidP="007F09FF">
      <w:pPr>
        <w:pStyle w:val="ListParagraph"/>
        <w:spacing w:after="0" w:line="240" w:lineRule="auto"/>
        <w:rPr>
          <w:rFonts w:ascii="Cambria" w:hAnsi="Cambria"/>
        </w:rPr>
      </w:pPr>
    </w:p>
    <w:p w14:paraId="0AEF3997" w14:textId="77777777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5C0BCB1D" w14:textId="0A06EF21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4B7C041B" w14:textId="31264A0A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IN-LAB TASKS (Using </w:t>
      </w:r>
      <w:proofErr w:type="spellStart"/>
      <w:r>
        <w:rPr>
          <w:rFonts w:ascii="Cambria" w:hAnsi="Cambria"/>
          <w:b/>
          <w:bCs/>
        </w:rPr>
        <w:t>PowerBI</w:t>
      </w:r>
      <w:proofErr w:type="spellEnd"/>
      <w:r w:rsidRPr="00C012AB">
        <w:rPr>
          <w:rFonts w:ascii="Cambria" w:hAnsi="Cambria"/>
          <w:b/>
          <w:bCs/>
        </w:rPr>
        <w:t xml:space="preserve">) </w:t>
      </w:r>
    </w:p>
    <w:p w14:paraId="7C9472F1" w14:textId="77777777" w:rsidR="007F09FF" w:rsidRDefault="007F09FF" w:rsidP="000129FF">
      <w:pPr>
        <w:spacing w:after="0" w:line="240" w:lineRule="auto"/>
        <w:rPr>
          <w:rFonts w:ascii="Cambria" w:hAnsi="Cambria"/>
        </w:rPr>
      </w:pP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3E0F3CF6" w14:textId="77777777" w:rsidR="007F09FF" w:rsidRDefault="007F09FF" w:rsidP="000129FF">
      <w:pPr>
        <w:spacing w:after="0" w:line="240" w:lineRule="auto"/>
        <w:rPr>
          <w:rFonts w:ascii="Cambria" w:hAnsi="Cambria"/>
          <w:b/>
          <w:bCs/>
        </w:rPr>
      </w:pPr>
    </w:p>
    <w:p w14:paraId="1C36E6EB" w14:textId="77777777" w:rsidR="007F09FF" w:rsidRDefault="007F09FF" w:rsidP="000129FF">
      <w:pPr>
        <w:spacing w:after="0" w:line="240" w:lineRule="auto"/>
        <w:rPr>
          <w:rFonts w:ascii="Cambria" w:hAnsi="Cambria"/>
          <w:b/>
          <w:bCs/>
        </w:rPr>
      </w:pPr>
    </w:p>
    <w:p w14:paraId="625C4171" w14:textId="77777777" w:rsidR="007F09FF" w:rsidRDefault="007F09FF" w:rsidP="000129FF">
      <w:pPr>
        <w:spacing w:after="0" w:line="240" w:lineRule="auto"/>
        <w:rPr>
          <w:rFonts w:ascii="Cambria" w:hAnsi="Cambria"/>
          <w:b/>
          <w:bCs/>
        </w:rPr>
      </w:pPr>
    </w:p>
    <w:p w14:paraId="38B1E47A" w14:textId="77777777" w:rsidR="00E46203" w:rsidRDefault="00E46203" w:rsidP="000129FF">
      <w:pPr>
        <w:spacing w:after="0" w:line="240" w:lineRule="auto"/>
        <w:rPr>
          <w:rFonts w:ascii="Cambria" w:hAnsi="Cambria"/>
          <w:b/>
          <w:bCs/>
        </w:rPr>
      </w:pPr>
    </w:p>
    <w:p w14:paraId="064978C8" w14:textId="77777777" w:rsidR="00E46203" w:rsidRDefault="00E46203" w:rsidP="000129FF">
      <w:pPr>
        <w:spacing w:after="0" w:line="240" w:lineRule="auto"/>
        <w:rPr>
          <w:rFonts w:ascii="Cambria" w:hAnsi="Cambria"/>
          <w:b/>
          <w:bCs/>
        </w:rPr>
      </w:pPr>
    </w:p>
    <w:p w14:paraId="04C359A1" w14:textId="77777777" w:rsidR="00E46203" w:rsidRDefault="00E46203" w:rsidP="000129FF">
      <w:pPr>
        <w:spacing w:after="0" w:line="240" w:lineRule="auto"/>
        <w:rPr>
          <w:rFonts w:ascii="Cambria" w:hAnsi="Cambria"/>
          <w:b/>
          <w:bCs/>
        </w:rPr>
      </w:pPr>
    </w:p>
    <w:p w14:paraId="4DE8C728" w14:textId="77777777" w:rsidR="00E46203" w:rsidRDefault="00E46203" w:rsidP="000129FF">
      <w:pPr>
        <w:spacing w:after="0" w:line="240" w:lineRule="auto"/>
        <w:rPr>
          <w:rFonts w:ascii="Cambria" w:hAnsi="Cambria"/>
          <w:b/>
          <w:bCs/>
        </w:rPr>
      </w:pPr>
    </w:p>
    <w:p w14:paraId="2D59F171" w14:textId="326CFF59" w:rsidR="00E46203" w:rsidRDefault="00E46203" w:rsidP="000129F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7976831C" wp14:editId="46A25E59">
            <wp:extent cx="5709285" cy="3191121"/>
            <wp:effectExtent l="0" t="0" r="5715" b="9525"/>
            <wp:docPr id="104155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285" cy="321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8CFC8" w14:textId="77777777" w:rsidR="007F09FF" w:rsidRDefault="007F09FF" w:rsidP="000129FF">
      <w:pPr>
        <w:spacing w:after="0" w:line="240" w:lineRule="auto"/>
        <w:rPr>
          <w:rFonts w:ascii="Cambria" w:hAnsi="Cambria"/>
          <w:b/>
          <w:bCs/>
        </w:rPr>
      </w:pPr>
    </w:p>
    <w:p w14:paraId="25BDFEE6" w14:textId="63451AC0" w:rsidR="007F09FF" w:rsidRDefault="007F09FF" w:rsidP="000129FF">
      <w:pPr>
        <w:spacing w:after="0" w:line="240" w:lineRule="auto"/>
        <w:rPr>
          <w:rFonts w:ascii="Cambria" w:hAnsi="Cambria"/>
          <w:b/>
          <w:bCs/>
        </w:rPr>
      </w:pPr>
    </w:p>
    <w:p w14:paraId="67027205" w14:textId="77777777" w:rsidR="007F09FF" w:rsidRDefault="007F09FF" w:rsidP="000129FF">
      <w:pPr>
        <w:spacing w:after="0" w:line="240" w:lineRule="auto"/>
        <w:rPr>
          <w:rFonts w:ascii="Cambria" w:hAnsi="Cambria"/>
          <w:b/>
          <w:bCs/>
        </w:rPr>
      </w:pPr>
    </w:p>
    <w:p w14:paraId="355A223B" w14:textId="77777777" w:rsidR="007F09FF" w:rsidRDefault="007F09FF" w:rsidP="000129FF">
      <w:pPr>
        <w:spacing w:after="0" w:line="240" w:lineRule="auto"/>
        <w:rPr>
          <w:rFonts w:ascii="Cambria" w:hAnsi="Cambria"/>
          <w:b/>
          <w:bCs/>
        </w:rPr>
      </w:pPr>
    </w:p>
    <w:p w14:paraId="6E4067FF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4C8AAC21" w14:textId="77777777" w:rsidR="007F09FF" w:rsidRDefault="000129FF" w:rsidP="007F0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</w:p>
    <w:p w14:paraId="5EA7BF6D" w14:textId="64C3F494" w:rsidR="007F09FF" w:rsidRPr="007F09FF" w:rsidRDefault="007F09FF" w:rsidP="007F09FF">
      <w:pPr>
        <w:spacing w:after="0" w:line="240" w:lineRule="auto"/>
        <w:ind w:left="714"/>
        <w:rPr>
          <w:rFonts w:ascii="Cambria" w:hAnsi="Cambria"/>
        </w:rPr>
      </w:pPr>
      <w:r w:rsidRPr="007F09FF">
        <w:rPr>
          <w:rFonts w:ascii="Cambria" w:hAnsi="Cambria"/>
        </w:rPr>
        <w:t xml:space="preserve">Interactivity improves analytical depth by allowing users to </w:t>
      </w:r>
      <w:r w:rsidRPr="007F09FF">
        <w:rPr>
          <w:rStyle w:val="Strong"/>
          <w:rFonts w:ascii="Cambria" w:eastAsiaTheme="majorEastAsia" w:hAnsi="Cambria"/>
        </w:rPr>
        <w:t>explore data at multiple levels</w:t>
      </w:r>
      <w:r w:rsidRPr="007F09FF">
        <w:rPr>
          <w:rFonts w:ascii="Cambria" w:hAnsi="Cambria"/>
        </w:rPr>
        <w:t xml:space="preserve">. Using slicers, drill-down, and drill-through, users can move from a summary view (overall performance) to detailed insights (department → semester → subject → student), helping identify the </w:t>
      </w:r>
      <w:r w:rsidRPr="007F09FF">
        <w:rPr>
          <w:rStyle w:val="Strong"/>
          <w:rFonts w:ascii="Cambria" w:eastAsiaTheme="majorEastAsia" w:hAnsi="Cambria"/>
        </w:rPr>
        <w:t>root cause</w:t>
      </w:r>
      <w:r w:rsidRPr="007F09FF">
        <w:rPr>
          <w:rFonts w:ascii="Cambria" w:hAnsi="Cambria"/>
        </w:rPr>
        <w:t xml:space="preserve"> of trends.</w:t>
      </w:r>
    </w:p>
    <w:p w14:paraId="18F3105A" w14:textId="77777777" w:rsidR="007F09FF" w:rsidRPr="000129FF" w:rsidRDefault="007F09FF" w:rsidP="007F09FF">
      <w:pPr>
        <w:spacing w:after="0" w:line="240" w:lineRule="auto"/>
        <w:ind w:left="714"/>
        <w:rPr>
          <w:rFonts w:ascii="Cambria" w:hAnsi="Cambria"/>
        </w:rPr>
      </w:pPr>
    </w:p>
    <w:p w14:paraId="715174EC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Which KPIs are critical for academic monitoring?</w:t>
      </w:r>
    </w:p>
    <w:p w14:paraId="387D1812" w14:textId="77777777" w:rsidR="007F09FF" w:rsidRPr="007F09FF" w:rsidRDefault="007F09FF" w:rsidP="007F09FF">
      <w:pPr>
        <w:spacing w:after="0" w:line="240" w:lineRule="auto"/>
        <w:ind w:left="714"/>
        <w:rPr>
          <w:rFonts w:ascii="Cambria" w:hAnsi="Cambria"/>
        </w:rPr>
      </w:pPr>
      <w:r w:rsidRPr="007F09FF">
        <w:rPr>
          <w:rFonts w:ascii="Cambria" w:hAnsi="Cambria"/>
        </w:rPr>
        <w:t>Key KPIs for academic monitoring include:</w:t>
      </w:r>
    </w:p>
    <w:p w14:paraId="32112C65" w14:textId="77777777" w:rsidR="007F09FF" w:rsidRPr="007F09FF" w:rsidRDefault="007F09FF" w:rsidP="007F09FF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  <w:b/>
          <w:bCs/>
        </w:rPr>
        <w:t>Average Attendance %</w:t>
      </w:r>
    </w:p>
    <w:p w14:paraId="57E0DC48" w14:textId="77777777" w:rsidR="007F09FF" w:rsidRPr="007F09FF" w:rsidRDefault="007F09FF" w:rsidP="007F09FF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  <w:b/>
          <w:bCs/>
        </w:rPr>
        <w:t>Students below attendance threshold (e.g., &lt;75%)</w:t>
      </w:r>
    </w:p>
    <w:p w14:paraId="686F9BD5" w14:textId="77777777" w:rsidR="007F09FF" w:rsidRPr="007F09FF" w:rsidRDefault="007F09FF" w:rsidP="007F09FF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  <w:b/>
          <w:bCs/>
        </w:rPr>
        <w:t>Average internal test scores</w:t>
      </w:r>
    </w:p>
    <w:p w14:paraId="1CBA26E1" w14:textId="77777777" w:rsidR="007F09FF" w:rsidRPr="007F09FF" w:rsidRDefault="007F09FF" w:rsidP="007F09FF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  <w:b/>
          <w:bCs/>
        </w:rPr>
        <w:t>Assignment performance</w:t>
      </w:r>
    </w:p>
    <w:p w14:paraId="3520C39E" w14:textId="5C9784B5" w:rsidR="007F09FF" w:rsidRPr="007F09FF" w:rsidRDefault="007F09FF" w:rsidP="007F09FF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  <w:b/>
          <w:bCs/>
        </w:rPr>
        <w:t>Grade distribution (A/B/C/D)</w:t>
      </w:r>
      <w:r w:rsidRPr="007F09FF">
        <w:rPr>
          <w:rFonts w:ascii="Cambria" w:hAnsi="Cambria"/>
        </w:rPr>
        <w:br/>
        <w:t xml:space="preserve">These KPIs help track both </w:t>
      </w:r>
      <w:r w:rsidRPr="007F09FF">
        <w:rPr>
          <w:rFonts w:ascii="Cambria" w:hAnsi="Cambria"/>
          <w:b/>
          <w:bCs/>
        </w:rPr>
        <w:t>participation</w:t>
      </w:r>
      <w:r w:rsidRPr="007F09FF">
        <w:rPr>
          <w:rFonts w:ascii="Cambria" w:hAnsi="Cambria"/>
        </w:rPr>
        <w:t xml:space="preserve"> and </w:t>
      </w:r>
      <w:r w:rsidRPr="007F09FF">
        <w:rPr>
          <w:rFonts w:ascii="Cambria" w:hAnsi="Cambria"/>
          <w:b/>
          <w:bCs/>
        </w:rPr>
        <w:t>academic outcomes</w:t>
      </w:r>
      <w:r w:rsidRPr="007F09FF">
        <w:rPr>
          <w:rFonts w:ascii="Cambria" w:hAnsi="Cambria"/>
        </w:rPr>
        <w:t>.</w:t>
      </w:r>
    </w:p>
    <w:p w14:paraId="5D48D3E1" w14:textId="77777777" w:rsidR="007F09FF" w:rsidRPr="000129FF" w:rsidRDefault="007F09FF" w:rsidP="007F09FF">
      <w:pPr>
        <w:spacing w:after="0" w:line="240" w:lineRule="auto"/>
        <w:ind w:left="714"/>
        <w:rPr>
          <w:rFonts w:ascii="Cambria" w:hAnsi="Cambria"/>
        </w:rPr>
      </w:pPr>
    </w:p>
    <w:p w14:paraId="7CE366F5" w14:textId="59A69337" w:rsidR="007F09FF" w:rsidRDefault="000129FF" w:rsidP="007F0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</w:p>
    <w:p w14:paraId="1250E2EE" w14:textId="77777777" w:rsidR="007F09FF" w:rsidRPr="007F09FF" w:rsidRDefault="007F09FF" w:rsidP="007F09FF">
      <w:pPr>
        <w:spacing w:after="0" w:line="240" w:lineRule="auto"/>
        <w:ind w:left="714"/>
        <w:rPr>
          <w:rFonts w:ascii="Cambria" w:hAnsi="Cambria"/>
        </w:rPr>
      </w:pPr>
      <w:r w:rsidRPr="007F09FF">
        <w:rPr>
          <w:rFonts w:ascii="Cambria" w:hAnsi="Cambria"/>
        </w:rPr>
        <w:t>Design principles that prevent overload are:</w:t>
      </w:r>
    </w:p>
    <w:p w14:paraId="441E826D" w14:textId="77777777" w:rsidR="007F09FF" w:rsidRPr="007F09FF" w:rsidRDefault="007F09FF" w:rsidP="007F09FF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</w:rPr>
        <w:t xml:space="preserve">Keep only </w:t>
      </w:r>
      <w:r w:rsidRPr="007F09FF">
        <w:rPr>
          <w:rFonts w:ascii="Cambria" w:hAnsi="Cambria"/>
          <w:b/>
          <w:bCs/>
        </w:rPr>
        <w:t>essential KPIs</w:t>
      </w:r>
    </w:p>
    <w:p w14:paraId="617E71C1" w14:textId="77777777" w:rsidR="007F09FF" w:rsidRPr="007F09FF" w:rsidRDefault="007F09FF" w:rsidP="007F09FF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</w:rPr>
        <w:t xml:space="preserve">Use a </w:t>
      </w:r>
      <w:r w:rsidRPr="007F09FF">
        <w:rPr>
          <w:rFonts w:ascii="Cambria" w:hAnsi="Cambria"/>
          <w:b/>
          <w:bCs/>
        </w:rPr>
        <w:t>clean layout with sections</w:t>
      </w:r>
    </w:p>
    <w:p w14:paraId="4ADED101" w14:textId="77777777" w:rsidR="007F09FF" w:rsidRPr="007F09FF" w:rsidRDefault="007F09FF" w:rsidP="007F09FF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</w:rPr>
        <w:t>Limit visuals (avoid too many charts)</w:t>
      </w:r>
    </w:p>
    <w:p w14:paraId="6104EFAC" w14:textId="77777777" w:rsidR="007F09FF" w:rsidRPr="007F09FF" w:rsidRDefault="007F09FF" w:rsidP="007F09FF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</w:rPr>
        <w:t xml:space="preserve">Use consistent </w:t>
      </w:r>
      <w:proofErr w:type="spellStart"/>
      <w:r w:rsidRPr="007F09FF">
        <w:rPr>
          <w:rFonts w:ascii="Cambria" w:hAnsi="Cambria"/>
        </w:rPr>
        <w:t>colors</w:t>
      </w:r>
      <w:proofErr w:type="spellEnd"/>
      <w:r w:rsidRPr="007F09FF">
        <w:rPr>
          <w:rFonts w:ascii="Cambria" w:hAnsi="Cambria"/>
        </w:rPr>
        <w:t xml:space="preserve"> and fonts</w:t>
      </w:r>
    </w:p>
    <w:p w14:paraId="156B914C" w14:textId="77777777" w:rsidR="007F09FF" w:rsidRPr="007F09FF" w:rsidRDefault="007F09FF" w:rsidP="007F09FF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</w:rPr>
        <w:t xml:space="preserve">Prefer </w:t>
      </w:r>
      <w:r w:rsidRPr="007F09FF">
        <w:rPr>
          <w:rFonts w:ascii="Cambria" w:hAnsi="Cambria"/>
          <w:b/>
          <w:bCs/>
        </w:rPr>
        <w:t>simple charts</w:t>
      </w:r>
      <w:r w:rsidRPr="007F09FF">
        <w:rPr>
          <w:rFonts w:ascii="Cambria" w:hAnsi="Cambria"/>
        </w:rPr>
        <w:t xml:space="preserve"> over complex visuals</w:t>
      </w:r>
    </w:p>
    <w:p w14:paraId="5AB1D518" w14:textId="77777777" w:rsidR="007F09FF" w:rsidRPr="007F09FF" w:rsidRDefault="007F09FF" w:rsidP="007F09FF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</w:rPr>
        <w:t xml:space="preserve">Add </w:t>
      </w:r>
      <w:r w:rsidRPr="007F09FF">
        <w:rPr>
          <w:rFonts w:ascii="Cambria" w:hAnsi="Cambria"/>
          <w:b/>
          <w:bCs/>
        </w:rPr>
        <w:t>filters and drill-down</w:t>
      </w:r>
      <w:r w:rsidRPr="007F09FF">
        <w:rPr>
          <w:rFonts w:ascii="Cambria" w:hAnsi="Cambria"/>
        </w:rPr>
        <w:t xml:space="preserve"> instead of showing everything at once</w:t>
      </w:r>
      <w:r w:rsidRPr="007F09FF">
        <w:rPr>
          <w:rFonts w:ascii="Cambria" w:hAnsi="Cambria"/>
        </w:rPr>
        <w:br/>
        <w:t>This makes dashboards easy to understand quickly.</w:t>
      </w:r>
    </w:p>
    <w:p w14:paraId="1F8D0495" w14:textId="77777777" w:rsidR="007F09FF" w:rsidRPr="007F09FF" w:rsidRDefault="007F09FF" w:rsidP="007F09FF">
      <w:pPr>
        <w:spacing w:after="0" w:line="240" w:lineRule="auto"/>
        <w:ind w:left="714"/>
        <w:rPr>
          <w:rFonts w:ascii="Cambria" w:hAnsi="Cambria"/>
        </w:rPr>
      </w:pPr>
    </w:p>
    <w:p w14:paraId="4F095E74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</w:p>
    <w:p w14:paraId="4877232F" w14:textId="77777777" w:rsidR="007F09FF" w:rsidRPr="007F09FF" w:rsidRDefault="007F09FF" w:rsidP="007F09FF">
      <w:pPr>
        <w:spacing w:after="0" w:line="240" w:lineRule="auto"/>
        <w:ind w:left="714"/>
        <w:rPr>
          <w:rFonts w:ascii="Cambria" w:hAnsi="Cambria"/>
        </w:rPr>
      </w:pPr>
      <w:r w:rsidRPr="007F09FF">
        <w:rPr>
          <w:rFonts w:ascii="Cambria" w:hAnsi="Cambria"/>
        </w:rPr>
        <w:t>Dashboards can integrate AI alerts by showing:</w:t>
      </w:r>
    </w:p>
    <w:p w14:paraId="1D8D8BCE" w14:textId="77777777" w:rsidR="007F09FF" w:rsidRPr="007F09FF" w:rsidRDefault="007F09FF" w:rsidP="007F09FF">
      <w:pPr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  <w:b/>
          <w:bCs/>
        </w:rPr>
        <w:t>Real-time warning indicators</w:t>
      </w:r>
      <w:r w:rsidRPr="007F09FF">
        <w:rPr>
          <w:rFonts w:ascii="Cambria" w:hAnsi="Cambria"/>
        </w:rPr>
        <w:t xml:space="preserve"> (ex: “At-risk students increasing”)</w:t>
      </w:r>
    </w:p>
    <w:p w14:paraId="5A392D7C" w14:textId="77777777" w:rsidR="007F09FF" w:rsidRPr="007F09FF" w:rsidRDefault="007F09FF" w:rsidP="007F09FF">
      <w:pPr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  <w:b/>
          <w:bCs/>
        </w:rPr>
        <w:lastRenderedPageBreak/>
        <w:t>Threshold-based alerts</w:t>
      </w:r>
      <w:r w:rsidRPr="007F09FF">
        <w:rPr>
          <w:rFonts w:ascii="Cambria" w:hAnsi="Cambria"/>
        </w:rPr>
        <w:t xml:space="preserve"> (attendance &lt; 75%, marks below cutoff)</w:t>
      </w:r>
    </w:p>
    <w:p w14:paraId="5E92CB1B" w14:textId="77777777" w:rsidR="007F09FF" w:rsidRPr="007F09FF" w:rsidRDefault="007F09FF" w:rsidP="007F09FF">
      <w:pPr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7F09FF">
        <w:rPr>
          <w:rFonts w:ascii="Cambria" w:hAnsi="Cambria"/>
          <w:b/>
          <w:bCs/>
        </w:rPr>
        <w:t>Notification panels</w:t>
      </w:r>
      <w:r w:rsidRPr="007F09FF">
        <w:rPr>
          <w:rFonts w:ascii="Cambria" w:hAnsi="Cambria"/>
        </w:rPr>
        <w:t xml:space="preserve"> for anomalies</w:t>
      </w:r>
      <w:r w:rsidRPr="007F09FF">
        <w:rPr>
          <w:rFonts w:ascii="Cambria" w:hAnsi="Cambria"/>
        </w:rPr>
        <w:br/>
        <w:t>AI models can generate predictions and alerts, and the dashboard displays them for fast action.</w:t>
      </w:r>
    </w:p>
    <w:p w14:paraId="0FE96942" w14:textId="77777777" w:rsidR="007F09FF" w:rsidRPr="000129FF" w:rsidRDefault="007F09FF" w:rsidP="007F09FF">
      <w:pPr>
        <w:spacing w:after="0" w:line="240" w:lineRule="auto"/>
        <w:ind w:left="714"/>
        <w:rPr>
          <w:rFonts w:ascii="Cambria" w:hAnsi="Cambria"/>
        </w:rPr>
      </w:pPr>
    </w:p>
    <w:p w14:paraId="416109FE" w14:textId="0EC4CB42" w:rsidR="007F09FF" w:rsidRDefault="000129FF" w:rsidP="007F0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 dashboards enhance transparency in institutions?</w:t>
      </w:r>
    </w:p>
    <w:p w14:paraId="23649A39" w14:textId="44496451" w:rsidR="007F09FF" w:rsidRPr="007F09FF" w:rsidRDefault="007F09FF" w:rsidP="007F09FF">
      <w:pPr>
        <w:spacing w:after="0" w:line="240" w:lineRule="auto"/>
        <w:ind w:left="714"/>
        <w:rPr>
          <w:rFonts w:ascii="Cambria" w:hAnsi="Cambria"/>
        </w:rPr>
      </w:pPr>
      <w:r w:rsidRPr="007F09FF">
        <w:rPr>
          <w:rFonts w:ascii="Cambria" w:hAnsi="Cambria"/>
        </w:rPr>
        <w:t xml:space="preserve">Dashboards enhance transparency by providing </w:t>
      </w:r>
      <w:r w:rsidRPr="007F09FF">
        <w:rPr>
          <w:rFonts w:ascii="Cambria" w:hAnsi="Cambria"/>
          <w:b/>
          <w:bCs/>
        </w:rPr>
        <w:t>clear, visual access to performance data</w:t>
      </w:r>
      <w:r w:rsidRPr="007F09FF">
        <w:rPr>
          <w:rFonts w:ascii="Cambria" w:hAnsi="Cambria"/>
        </w:rPr>
        <w:t xml:space="preserve"> for stakeholders like students, faculty, and management. They ensure decisions are based</w:t>
      </w: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36CDB0B" w14:textId="6BBD87BD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C53"/>
    <w:multiLevelType w:val="multilevel"/>
    <w:tmpl w:val="F386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B5AE1"/>
    <w:multiLevelType w:val="multilevel"/>
    <w:tmpl w:val="759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54CFC"/>
    <w:multiLevelType w:val="multilevel"/>
    <w:tmpl w:val="55D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A13DB"/>
    <w:multiLevelType w:val="multilevel"/>
    <w:tmpl w:val="F0D2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1"/>
  </w:num>
  <w:num w:numId="2" w16cid:durableId="917398923">
    <w:abstractNumId w:val="3"/>
  </w:num>
  <w:num w:numId="3" w16cid:durableId="1238250708">
    <w:abstractNumId w:val="7"/>
  </w:num>
  <w:num w:numId="4" w16cid:durableId="934631667">
    <w:abstractNumId w:val="6"/>
  </w:num>
  <w:num w:numId="5" w16cid:durableId="1769812707">
    <w:abstractNumId w:val="5"/>
  </w:num>
  <w:num w:numId="6" w16cid:durableId="1077947100">
    <w:abstractNumId w:val="2"/>
  </w:num>
  <w:num w:numId="7" w16cid:durableId="385567648">
    <w:abstractNumId w:val="0"/>
  </w:num>
  <w:num w:numId="8" w16cid:durableId="403994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227BBD"/>
    <w:rsid w:val="00236C10"/>
    <w:rsid w:val="007C1511"/>
    <w:rsid w:val="007F09FF"/>
    <w:rsid w:val="0083104D"/>
    <w:rsid w:val="008A02B7"/>
    <w:rsid w:val="00E4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semiHidden/>
    <w:unhideWhenUsed/>
    <w:rsid w:val="007F0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0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E3A3EE-0A36-46A7-9013-4E251A3B9585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8601F2-FAE9-4267-AAD8-5210E29F33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Mohana Dharshini T 23BAD066</cp:lastModifiedBy>
  <cp:revision>4</cp:revision>
  <dcterms:created xsi:type="dcterms:W3CDTF">2026-01-24T04:52:00Z</dcterms:created>
  <dcterms:modified xsi:type="dcterms:W3CDTF">2026-01-24T04:53:00Z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