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EF7C" w14:textId="431A7A07" w:rsidR="00404D82" w:rsidRPr="00A25720" w:rsidRDefault="00404D82" w:rsidP="00104C9F">
      <w:pPr>
        <w:jc w:val="center"/>
        <w:rPr>
          <w:b/>
          <w:bCs/>
          <w:i/>
          <w:iCs/>
          <w:sz w:val="32"/>
          <w:szCs w:val="32"/>
        </w:rPr>
      </w:pPr>
      <w:r w:rsidRPr="00A25720">
        <w:rPr>
          <w:b/>
          <w:bCs/>
          <w:i/>
          <w:iCs/>
          <w:sz w:val="32"/>
          <w:szCs w:val="32"/>
        </w:rPr>
        <w:t>A Behavioral Analysis of Dual-Interpreted News Events</w:t>
      </w:r>
    </w:p>
    <w:p w14:paraId="4E7519C0" w14:textId="77777777" w:rsidR="00147981" w:rsidRDefault="00147981" w:rsidP="00277600">
      <w:pPr>
        <w:spacing w:after="0"/>
        <w:rPr>
          <w:b/>
          <w:bCs/>
        </w:rPr>
      </w:pPr>
    </w:p>
    <w:p w14:paraId="70DEA473" w14:textId="3AE0A38F" w:rsidR="00147981" w:rsidRPr="00147981" w:rsidRDefault="00147981" w:rsidP="00147981">
      <w:pPr>
        <w:spacing w:after="0"/>
        <w:rPr>
          <w:b/>
          <w:bCs/>
        </w:rPr>
      </w:pPr>
      <w:r w:rsidRPr="00147981">
        <w:rPr>
          <w:b/>
          <w:bCs/>
        </w:rPr>
        <w:t>Abstract</w:t>
      </w:r>
      <w:r>
        <w:rPr>
          <w:b/>
          <w:bCs/>
        </w:rPr>
        <w:t>:</w:t>
      </w:r>
    </w:p>
    <w:p w14:paraId="2B466B90" w14:textId="6C29BE2D" w:rsidR="00147981" w:rsidRDefault="00147981" w:rsidP="00147981">
      <w:pPr>
        <w:spacing w:after="0"/>
      </w:pPr>
      <w:r>
        <w:t xml:space="preserve">This research paper delves into the dual-interpretation nature of some news events-moments where headlines trigger conflicting market signals – and how this market condition drives price discovery. EMH (Fama, 1970) Suggests that information is ‘priced in’ instantly. However, real-world markets are rarely that clear. By Analyzing over thousands news events and categorizing them based on market participants’ reaction and behavior, I have mentioned few news headlines that carries ambiguous, multi-layered narrative. I will use one </w:t>
      </w:r>
      <w:r w:rsidR="00A259A1">
        <w:t>news event covering</w:t>
      </w:r>
      <w:r>
        <w:t xml:space="preserve"> the Recessionary pivot narrative after the August 4</w:t>
      </w:r>
      <w:r w:rsidRPr="00147981">
        <w:rPr>
          <w:vertAlign w:val="superscript"/>
        </w:rPr>
        <w:t>th</w:t>
      </w:r>
      <w:r>
        <w:t xml:space="preserve"> 2024 Nonfarm payroll release. </w:t>
      </w:r>
    </w:p>
    <w:p w14:paraId="6E8BC146" w14:textId="77777777" w:rsidR="00147981" w:rsidRDefault="00147981" w:rsidP="00147981">
      <w:pPr>
        <w:spacing w:after="0"/>
      </w:pPr>
    </w:p>
    <w:p w14:paraId="368D4E2D" w14:textId="6B8FEB43" w:rsidR="00147981" w:rsidRPr="00A259A1" w:rsidRDefault="00147981" w:rsidP="00A259A1">
      <w:pPr>
        <w:spacing w:after="0"/>
      </w:pPr>
      <w:r>
        <w:t xml:space="preserve">My findings suggest that purely quantitative models often fail during these regime shifts because they lack situational awareness. To solve this, I propose a "Dynamic Execution" framework—a hybrid approach that blends context-heavy programming with discretionary human oversight. </w:t>
      </w:r>
      <w:r w:rsidR="00A259A1">
        <w:t xml:space="preserve"> </w:t>
      </w:r>
      <w:r>
        <w:t>Ultimately, the data shows that in today’s markets, the context surrounding a headline is just as vital for valuation as the news itself.</w:t>
      </w:r>
    </w:p>
    <w:p w14:paraId="32984121" w14:textId="436D8A16" w:rsidR="00147981" w:rsidRDefault="00147981" w:rsidP="00277600">
      <w:pPr>
        <w:spacing w:after="0"/>
        <w:rPr>
          <w:b/>
          <w:bCs/>
        </w:rPr>
      </w:pPr>
    </w:p>
    <w:p w14:paraId="35F3E13E" w14:textId="70BF4050" w:rsidR="00147981" w:rsidRDefault="00147981" w:rsidP="00277600">
      <w:pPr>
        <w:spacing w:after="0"/>
        <w:rPr>
          <w:b/>
          <w:bCs/>
        </w:rPr>
      </w:pPr>
    </w:p>
    <w:p w14:paraId="1786D5E4" w14:textId="7E5C9FE9" w:rsidR="00A259A1" w:rsidRDefault="00A259A1" w:rsidP="00277600">
      <w:pPr>
        <w:spacing w:after="0"/>
        <w:rPr>
          <w:b/>
          <w:bCs/>
        </w:rPr>
      </w:pPr>
    </w:p>
    <w:p w14:paraId="60AFB3CE" w14:textId="6111EBF9" w:rsidR="00A259A1" w:rsidRDefault="00A259A1" w:rsidP="00277600">
      <w:pPr>
        <w:spacing w:after="0"/>
        <w:rPr>
          <w:b/>
          <w:bCs/>
        </w:rPr>
      </w:pPr>
    </w:p>
    <w:p w14:paraId="297B1318" w14:textId="5C573938" w:rsidR="00A259A1" w:rsidRDefault="00A259A1" w:rsidP="00277600">
      <w:pPr>
        <w:spacing w:after="0"/>
        <w:rPr>
          <w:b/>
          <w:bCs/>
        </w:rPr>
      </w:pPr>
      <w:r w:rsidRPr="00EC34D1">
        <w:rPr>
          <w:noProof/>
          <w:sz w:val="20"/>
          <w:szCs w:val="28"/>
        </w:rPr>
        <mc:AlternateContent>
          <mc:Choice Requires="wps">
            <w:drawing>
              <wp:anchor distT="0" distB="0" distL="0" distR="0" simplePos="0" relativeHeight="251661312" behindDoc="1" locked="0" layoutInCell="1" allowOverlap="1" wp14:anchorId="7308E100" wp14:editId="193B0146">
                <wp:simplePos x="0" y="0"/>
                <wp:positionH relativeFrom="margin">
                  <wp:align>left</wp:align>
                </wp:positionH>
                <wp:positionV relativeFrom="paragraph">
                  <wp:posOffset>190500</wp:posOffset>
                </wp:positionV>
                <wp:extent cx="6337300" cy="9525"/>
                <wp:effectExtent l="0" t="0" r="0" b="0"/>
                <wp:wrapTopAndBottom/>
                <wp:docPr id="1988848557"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9525"/>
                        </a:xfrm>
                        <a:custGeom>
                          <a:avLst/>
                          <a:gdLst/>
                          <a:ahLst/>
                          <a:cxnLst/>
                          <a:rect l="l" t="t" r="r" b="b"/>
                          <a:pathLst>
                            <a:path w="6337300" h="9525">
                              <a:moveTo>
                                <a:pt x="6336792" y="0"/>
                              </a:moveTo>
                              <a:lnTo>
                                <a:pt x="0" y="0"/>
                              </a:lnTo>
                              <a:lnTo>
                                <a:pt x="0" y="9144"/>
                              </a:lnTo>
                              <a:lnTo>
                                <a:pt x="6336792" y="9144"/>
                              </a:lnTo>
                              <a:lnTo>
                                <a:pt x="6336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60F2C" id="Graphic 470" o:spid="_x0000_s1026" style="position:absolute;margin-left:0;margin-top:15pt;width:499pt;height:.75pt;z-index:-251655168;visibility:visible;mso-wrap-style:square;mso-wrap-distance-left:0;mso-wrap-distance-top:0;mso-wrap-distance-right:0;mso-wrap-distance-bottom:0;mso-position-horizontal:left;mso-position-horizontal-relative:margin;mso-position-vertical:absolute;mso-position-vertical-relative:text;v-text-anchor:top" coordsize="6337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" path="m6336792,l,,,9144r6336792,l6336792,xe" fillcolor="black" stroked="f">
                <v:path arrowok="t"/>
                <w10:wrap type="topAndBottom" anchorx="margin"/>
              </v:shape>
            </w:pict>
          </mc:Fallback>
        </mc:AlternateContent>
      </w:r>
    </w:p>
    <w:p w14:paraId="79609AC5" w14:textId="77777777" w:rsidR="00A259A1" w:rsidRDefault="00A259A1" w:rsidP="00277600">
      <w:pPr>
        <w:spacing w:after="0"/>
        <w:rPr>
          <w:b/>
          <w:bCs/>
        </w:rPr>
      </w:pPr>
    </w:p>
    <w:p w14:paraId="22EDD1B6" w14:textId="7B744123" w:rsidR="00277600" w:rsidRPr="00A25720" w:rsidRDefault="00C40B1E" w:rsidP="00277600">
      <w:pPr>
        <w:spacing w:after="0"/>
        <w:rPr>
          <w:b/>
          <w:bCs/>
        </w:rPr>
      </w:pPr>
      <w:r w:rsidRPr="00A25720">
        <w:rPr>
          <w:b/>
          <w:bCs/>
        </w:rPr>
        <w:t>Introduction:</w:t>
      </w:r>
    </w:p>
    <w:p w14:paraId="08C4D78B" w14:textId="134AC713" w:rsidR="00590455" w:rsidRDefault="00590455" w:rsidP="00590455">
      <w:pPr>
        <w:spacing w:after="0"/>
      </w:pPr>
      <w:r>
        <w:t>In an efficient market, all information is accounted for simultaneously to reflect the new supply and demand conditions. This efficiency is largely driven by human nature reflected in self-interest</w:t>
      </w:r>
      <w:r w:rsidR="001D53AC">
        <w:t xml:space="preserve"> driven by the valuation of something</w:t>
      </w:r>
      <w:r>
        <w:t>. In financial markets, that is showcased by market participants’ behavior to news events. News events include monetary policy, economic data, geopolitics, etc. These news events are often interpreted or "priced in"</w:t>
      </w:r>
      <w:r w:rsidR="00A25720">
        <w:t xml:space="preserve"> </w:t>
      </w:r>
      <w:r>
        <w:t>by financial markets as either bullish or bearish</w:t>
      </w:r>
      <w:r w:rsidR="00A25720">
        <w:rPr>
          <w:rStyle w:val="FootnoteReference"/>
        </w:rPr>
        <w:footnoteReference w:id="1"/>
      </w:r>
      <w:r w:rsidR="00A25720">
        <w:t>.</w:t>
      </w:r>
    </w:p>
    <w:p w14:paraId="028D9291" w14:textId="77777777" w:rsidR="00590455" w:rsidRDefault="00590455" w:rsidP="00590455">
      <w:pPr>
        <w:spacing w:after="0"/>
      </w:pPr>
    </w:p>
    <w:p w14:paraId="37366D0D" w14:textId="260CEFCC" w:rsidR="00590455" w:rsidRDefault="00590455" w:rsidP="00A25720">
      <w:pPr>
        <w:spacing w:after="0"/>
      </w:pPr>
      <w:r>
        <w:t xml:space="preserve">In the aftermath of </w:t>
      </w:r>
      <w:r w:rsidR="009C7BBE">
        <w:t>a</w:t>
      </w:r>
      <w:r>
        <w:t xml:space="preserve"> news release, a quick reaction follows.</w:t>
      </w:r>
      <w:r w:rsidR="00A25720">
        <w:rPr>
          <w:rStyle w:val="FootnoteReference"/>
        </w:rPr>
        <w:footnoteReference w:id="2"/>
      </w:r>
      <w:r>
        <w:t xml:space="preserve"> Regardless of the strength of that specific headline to market context, it gets priced into the financial markets and can provide </w:t>
      </w:r>
      <w:r>
        <w:lastRenderedPageBreak/>
        <w:t xml:space="preserve">either a muted or significant reaction. However, in some instances, market reactions react irrationally to a news event. This is mainly because there is a </w:t>
      </w:r>
      <w:r w:rsidRPr="001D53AC">
        <w:rPr>
          <w:rFonts w:asciiTheme="majorBidi" w:hAnsiTheme="majorBidi" w:cstheme="majorBidi"/>
          <w:i/>
          <w:iCs/>
        </w:rPr>
        <w:t>dual-interpretation</w:t>
      </w:r>
      <w:r>
        <w:t>, surpassing the standard signals that are a clear buy or sell signal.</w:t>
      </w:r>
      <w:r w:rsidR="00A25720">
        <w:t xml:space="preserve"> </w:t>
      </w:r>
      <w:r>
        <w:t>Furthermore, this type of dual-interpreted headline plays a major role in contributing to market complexity and randomness. Providing a framework to address such a hurdle could potentially reduce that randomness and provide clear decision-making parameters for a</w:t>
      </w:r>
      <w:r w:rsidR="00A25720">
        <w:t xml:space="preserve"> retail investor or an </w:t>
      </w:r>
      <w:r>
        <w:t>algo-based system.</w:t>
      </w:r>
    </w:p>
    <w:p w14:paraId="3E02697D" w14:textId="77777777" w:rsidR="00590455" w:rsidRDefault="00590455" w:rsidP="00590455">
      <w:pPr>
        <w:spacing w:after="0"/>
      </w:pPr>
    </w:p>
    <w:p w14:paraId="0426A71E" w14:textId="06D149E8" w:rsidR="00A25720" w:rsidRDefault="00590455" w:rsidP="00590455">
      <w:pPr>
        <w:spacing w:after="0"/>
      </w:pPr>
      <w:r>
        <w:t xml:space="preserve">The methods used in this paper are based on active market participation and observation over a five-year period and provide a proof of concept after collecting over </w:t>
      </w:r>
      <w:r w:rsidR="00A25720">
        <w:t xml:space="preserve">thousand </w:t>
      </w:r>
      <w:r>
        <w:t>headlines following key financial websites and newsfeeds since June</w:t>
      </w:r>
      <w:r w:rsidR="00A25720">
        <w:t xml:space="preserve"> of</w:t>
      </w:r>
      <w:r>
        <w:t xml:space="preserve"> 2025 and classifying various news into different categories, utilizing primarily qualitative analysis</w:t>
      </w:r>
      <w:r w:rsidR="00A25720">
        <w:t>.</w:t>
      </w:r>
    </w:p>
    <w:p w14:paraId="60E38F22" w14:textId="77777777" w:rsidR="00A25720" w:rsidRDefault="00A25720" w:rsidP="00590455">
      <w:pPr>
        <w:spacing w:after="0"/>
      </w:pPr>
    </w:p>
    <w:p w14:paraId="30CCA656" w14:textId="359E59B5" w:rsidR="00590455" w:rsidRDefault="00590455" w:rsidP="00590455">
      <w:pPr>
        <w:spacing w:after="0"/>
      </w:pPr>
      <w:r>
        <w:t xml:space="preserve"> This paper focuses on a specific type of headlines</w:t>
      </w:r>
      <w:r w:rsidR="001D53AC">
        <w:t xml:space="preserve"> category</w:t>
      </w:r>
      <w:r>
        <w:t xml:space="preserve"> in my findings, which are the ones that are dual-interpreted by market </w:t>
      </w:r>
      <w:r w:rsidR="001D53AC">
        <w:t>participants.</w:t>
      </w:r>
      <w:r>
        <w:t xml:space="preserve"> Also, this paper assesses a possible workaround for this problem and explores potential solutions to address such hurdles.</w:t>
      </w:r>
    </w:p>
    <w:p w14:paraId="2A23983E" w14:textId="2A209A2F" w:rsidR="00FA1762" w:rsidRDefault="00FA1762" w:rsidP="00277600">
      <w:pPr>
        <w:spacing w:after="0"/>
      </w:pPr>
    </w:p>
    <w:p w14:paraId="72A4453A" w14:textId="5F1C991E" w:rsidR="00277600" w:rsidRPr="00A25720" w:rsidRDefault="008A1DBE" w:rsidP="00277600">
      <w:pPr>
        <w:spacing w:after="0"/>
        <w:rPr>
          <w:b/>
          <w:bCs/>
        </w:rPr>
      </w:pPr>
      <w:r w:rsidRPr="00A25720">
        <w:rPr>
          <w:b/>
          <w:bCs/>
        </w:rPr>
        <w:t>Brief Literature Review:</w:t>
      </w:r>
    </w:p>
    <w:p w14:paraId="6DDC582D" w14:textId="79B7C63C" w:rsidR="00277600" w:rsidRPr="009A1BF7" w:rsidRDefault="009A1BF7" w:rsidP="00277600">
      <w:pPr>
        <w:spacing w:after="0"/>
      </w:pPr>
      <w:r w:rsidRPr="009A1BF7">
        <w:t>The study of how news impacts price discovery is rooted in several key financial theories</w:t>
      </w:r>
      <w:r w:rsidR="008A1DBE">
        <w:t xml:space="preserve">: </w:t>
      </w:r>
    </w:p>
    <w:p w14:paraId="00F00A3A" w14:textId="3808F863" w:rsidR="00FA1762" w:rsidRPr="00A25720" w:rsidRDefault="009A1BF7" w:rsidP="00A25720">
      <w:pPr>
        <w:spacing w:after="0"/>
        <w:rPr>
          <w:sz w:val="22"/>
          <w:szCs w:val="22"/>
        </w:rPr>
      </w:pPr>
      <w:r w:rsidRPr="00104C9F">
        <w:rPr>
          <w:rFonts w:asciiTheme="majorBidi" w:hAnsiTheme="majorBidi" w:cstheme="majorBidi"/>
          <w:i/>
          <w:iCs/>
          <w:sz w:val="22"/>
          <w:szCs w:val="22"/>
        </w:rPr>
        <w:t>The Efficient Market Hypothesis (Fama, 1970):</w:t>
      </w:r>
      <w:r w:rsidRPr="00A25720">
        <w:rPr>
          <w:sz w:val="22"/>
          <w:szCs w:val="22"/>
        </w:rPr>
        <w:t xml:space="preserve"> </w:t>
      </w:r>
      <w:r w:rsidR="00A25720">
        <w:rPr>
          <w:sz w:val="22"/>
          <w:szCs w:val="22"/>
        </w:rPr>
        <w:t xml:space="preserve"> </w:t>
      </w:r>
      <w:r w:rsidR="008A1DBE">
        <w:t xml:space="preserve">a </w:t>
      </w:r>
      <w:r w:rsidR="008A1DBE" w:rsidRPr="008A1DBE">
        <w:t>hypothesis in financial economics that states that asset prices reflect all available information.</w:t>
      </w:r>
    </w:p>
    <w:p w14:paraId="1F139524" w14:textId="193B1C07" w:rsidR="008A1DBE" w:rsidRPr="00A25720" w:rsidRDefault="00277600" w:rsidP="00A25720">
      <w:pPr>
        <w:spacing w:after="0"/>
        <w:rPr>
          <w:sz w:val="22"/>
          <w:szCs w:val="22"/>
        </w:rPr>
      </w:pPr>
      <w:r w:rsidRPr="00104C9F">
        <w:rPr>
          <w:rFonts w:asciiTheme="majorBidi" w:hAnsiTheme="majorBidi" w:cstheme="majorBidi"/>
          <w:i/>
          <w:iCs/>
          <w:sz w:val="22"/>
          <w:szCs w:val="22"/>
        </w:rPr>
        <w:t>T</w:t>
      </w:r>
      <w:r w:rsidR="009A1BF7" w:rsidRPr="00104C9F">
        <w:rPr>
          <w:rFonts w:asciiTheme="majorBidi" w:hAnsiTheme="majorBidi" w:cstheme="majorBidi"/>
          <w:i/>
          <w:iCs/>
          <w:sz w:val="22"/>
          <w:szCs w:val="22"/>
        </w:rPr>
        <w:t>he Ellsberg Paradox (1961):</w:t>
      </w:r>
      <w:r w:rsidR="00A25720">
        <w:rPr>
          <w:sz w:val="22"/>
          <w:szCs w:val="22"/>
        </w:rPr>
        <w:t xml:space="preserve"> </w:t>
      </w:r>
      <w:r w:rsidR="008A1DBE" w:rsidRPr="00277600">
        <w:t>a decision-theoretic phenomenon where people prefer known risks over unknown, ambiguous risks</w:t>
      </w:r>
    </w:p>
    <w:p w14:paraId="1CB2BF75" w14:textId="3E6B8184" w:rsidR="00277600" w:rsidRDefault="00277600" w:rsidP="00A25720">
      <w:pPr>
        <w:spacing w:after="0"/>
      </w:pPr>
      <w:r w:rsidRPr="00104C9F">
        <w:rPr>
          <w:rFonts w:asciiTheme="majorBidi" w:hAnsiTheme="majorBidi" w:cstheme="majorBidi"/>
          <w:i/>
          <w:iCs/>
          <w:sz w:val="22"/>
          <w:szCs w:val="22"/>
        </w:rPr>
        <w:t>Knightian Uncertainty (1921):</w:t>
      </w:r>
      <w:r w:rsidR="00A25720">
        <w:rPr>
          <w:sz w:val="22"/>
          <w:szCs w:val="22"/>
        </w:rPr>
        <w:t xml:space="preserve"> </w:t>
      </w:r>
      <w:r w:rsidR="00104C9F">
        <w:t>l</w:t>
      </w:r>
      <w:r w:rsidRPr="00277600">
        <w:t>ack of any quantifiable knowledge about some possible occurrence, as opposed to the presence of quantifiable risk</w:t>
      </w:r>
      <w:r w:rsidR="008A17E1">
        <w:t>.</w:t>
      </w:r>
    </w:p>
    <w:p w14:paraId="1BC8B446" w14:textId="0CA0CE4C" w:rsidR="00104C9F" w:rsidRPr="00104C9F" w:rsidRDefault="00104C9F" w:rsidP="00104C9F">
      <w:pPr>
        <w:spacing w:after="0"/>
      </w:pPr>
      <w:r w:rsidRPr="00104C9F">
        <w:rPr>
          <w:rFonts w:asciiTheme="majorBidi" w:hAnsiTheme="majorBidi" w:cstheme="majorBidi"/>
          <w:i/>
          <w:iCs/>
        </w:rPr>
        <w:t>The Adaptive Market Hypothesis (Lo, 2004):</w:t>
      </w:r>
      <w:r w:rsidRPr="00104C9F">
        <w:t xml:space="preserve"> </w:t>
      </w:r>
      <w:r>
        <w:t>m</w:t>
      </w:r>
      <w:r w:rsidRPr="00104C9F">
        <w:t>arket efficiency is not a constant state but a variable that changes based on the market environment and participant behavior.</w:t>
      </w:r>
      <w:r>
        <w:rPr>
          <w:rStyle w:val="FootnoteReference"/>
        </w:rPr>
        <w:footnoteReference w:id="3"/>
      </w:r>
    </w:p>
    <w:p w14:paraId="069D4AB3" w14:textId="77777777" w:rsidR="008A17E1" w:rsidRDefault="008A17E1" w:rsidP="00277600">
      <w:pPr>
        <w:spacing w:after="0"/>
      </w:pPr>
    </w:p>
    <w:p w14:paraId="5D69EF91" w14:textId="16E44767" w:rsidR="008A17E1" w:rsidRDefault="008A17E1" w:rsidP="00104C9F">
      <w:pPr>
        <w:spacing w:after="0"/>
      </w:pPr>
      <w:r>
        <w:t xml:space="preserve">In the context of this research paper, </w:t>
      </w:r>
      <w:r w:rsidRPr="00104C9F">
        <w:rPr>
          <w:rFonts w:asciiTheme="majorBidi" w:hAnsiTheme="majorBidi" w:cstheme="majorBidi"/>
          <w:i/>
          <w:iCs/>
        </w:rPr>
        <w:t>Fama</w:t>
      </w:r>
      <w:r w:rsidRPr="00104C9F">
        <w:t xml:space="preserve"> </w:t>
      </w:r>
      <w:r w:rsidRPr="008A17E1">
        <w:t xml:space="preserve">sets the baseline (how things </w:t>
      </w:r>
      <w:r w:rsidRPr="008A17E1">
        <w:rPr>
          <w:i/>
          <w:iCs/>
        </w:rPr>
        <w:t>should</w:t>
      </w:r>
      <w:r w:rsidRPr="008A17E1">
        <w:t xml:space="preserve"> work)</w:t>
      </w:r>
      <w:r>
        <w:t xml:space="preserve">, </w:t>
      </w:r>
      <w:r w:rsidRPr="00104C9F">
        <w:rPr>
          <w:rFonts w:asciiTheme="majorBidi" w:hAnsiTheme="majorBidi" w:cstheme="majorBidi"/>
          <w:i/>
          <w:iCs/>
        </w:rPr>
        <w:t xml:space="preserve">Ellsberg </w:t>
      </w:r>
      <w:r w:rsidRPr="008A17E1">
        <w:t>explains the human failure (why participants panic)</w:t>
      </w:r>
      <w:r w:rsidR="00104C9F">
        <w:t xml:space="preserve">, </w:t>
      </w:r>
      <w:r w:rsidRPr="00104C9F">
        <w:rPr>
          <w:rFonts w:asciiTheme="majorBidi" w:hAnsiTheme="majorBidi" w:cstheme="majorBidi"/>
          <w:i/>
          <w:iCs/>
        </w:rPr>
        <w:t>Knight</w:t>
      </w:r>
      <w:r w:rsidRPr="008A17E1">
        <w:t xml:space="preserve"> explains the mathematical failure (why models break when data is non-quantifiable)</w:t>
      </w:r>
      <w:r w:rsidR="00104C9F">
        <w:t xml:space="preserve"> a</w:t>
      </w:r>
      <w:r w:rsidR="00104C9F" w:rsidRPr="00104C9F">
        <w:t>nd</w:t>
      </w:r>
      <w:r w:rsidR="00104C9F" w:rsidRPr="00104C9F">
        <w:rPr>
          <w:rFonts w:asciiTheme="majorBidi" w:hAnsiTheme="majorBidi" w:cstheme="majorBidi"/>
          <w:i/>
          <w:iCs/>
        </w:rPr>
        <w:t xml:space="preserve"> Lo</w:t>
      </w:r>
      <w:r w:rsidR="00104C9F" w:rsidRPr="00104C9F">
        <w:t xml:space="preserve"> provides the framework for why markets must "adapt" to the dual-interpreted news hurdles explored in this paper.</w:t>
      </w:r>
    </w:p>
    <w:p w14:paraId="71C2439D" w14:textId="77777777" w:rsidR="005A2E71" w:rsidRPr="005A2E71" w:rsidRDefault="005A2E71" w:rsidP="00B526EB">
      <w:pPr>
        <w:spacing w:after="0"/>
        <w:rPr>
          <w:sz w:val="16"/>
          <w:szCs w:val="16"/>
        </w:rPr>
      </w:pPr>
    </w:p>
    <w:p w14:paraId="5916EB7A" w14:textId="4542B50C" w:rsidR="008A17E1" w:rsidRPr="00F1761B" w:rsidRDefault="00C40B1E" w:rsidP="008A17E1">
      <w:pPr>
        <w:spacing w:after="0"/>
        <w:rPr>
          <w:b/>
          <w:bCs/>
        </w:rPr>
      </w:pPr>
      <w:r w:rsidRPr="00F1761B">
        <w:rPr>
          <w:b/>
          <w:bCs/>
        </w:rPr>
        <w:t>Research Problem:</w:t>
      </w:r>
    </w:p>
    <w:p w14:paraId="5817BD1C" w14:textId="73C2696B" w:rsidR="00F1761B" w:rsidRDefault="00F1761B" w:rsidP="00F1761B">
      <w:pPr>
        <w:spacing w:after="0"/>
      </w:pPr>
      <w:r w:rsidRPr="00F1761B">
        <w:t>These dual-interpreted events introduce significant</w:t>
      </w:r>
      <w:r>
        <w:t xml:space="preserve"> risks to market participants’ decisions when speculating in financial instruments. I pose the following question to further clarify the issue:</w:t>
      </w:r>
    </w:p>
    <w:p w14:paraId="04E7CE6A" w14:textId="77777777" w:rsidR="00F1761B" w:rsidRDefault="00F1761B" w:rsidP="00F1761B">
      <w:pPr>
        <w:spacing w:after="0"/>
      </w:pPr>
    </w:p>
    <w:p w14:paraId="404D61BD" w14:textId="4E93FB4E" w:rsidR="008A17E1" w:rsidRPr="00F1761B" w:rsidRDefault="008A17E1" w:rsidP="008A17E1">
      <w:pPr>
        <w:spacing w:after="0"/>
        <w:rPr>
          <w:rFonts w:asciiTheme="majorBidi" w:hAnsiTheme="majorBidi" w:cstheme="majorBidi"/>
          <w:i/>
          <w:iCs/>
        </w:rPr>
      </w:pPr>
      <w:r w:rsidRPr="00F1761B">
        <w:rPr>
          <w:rFonts w:asciiTheme="majorBidi" w:hAnsiTheme="majorBidi" w:cstheme="majorBidi"/>
          <w:i/>
          <w:iCs/>
        </w:rPr>
        <w:t xml:space="preserve">"How can </w:t>
      </w:r>
      <w:r w:rsidR="00F1761B">
        <w:rPr>
          <w:rFonts w:asciiTheme="majorBidi" w:hAnsiTheme="majorBidi" w:cstheme="majorBidi"/>
          <w:i/>
          <w:iCs/>
        </w:rPr>
        <w:t>you</w:t>
      </w:r>
      <w:r w:rsidRPr="00F1761B">
        <w:rPr>
          <w:rFonts w:asciiTheme="majorBidi" w:hAnsiTheme="majorBidi" w:cstheme="majorBidi"/>
          <w:i/>
          <w:iCs/>
        </w:rPr>
        <w:t xml:space="preserve"> react to a news event that is dual-interpreted, where even the variables or interpretations are subject to change in a different market regime?".</w:t>
      </w:r>
      <w:r w:rsidR="001D53AC">
        <w:rPr>
          <w:rStyle w:val="FootnoteReference"/>
          <w:rFonts w:asciiTheme="majorBidi" w:hAnsiTheme="majorBidi" w:cstheme="majorBidi"/>
          <w:i/>
          <w:iCs/>
        </w:rPr>
        <w:footnoteReference w:id="4"/>
      </w:r>
    </w:p>
    <w:p w14:paraId="6829B827" w14:textId="77777777" w:rsidR="008A17E1" w:rsidRPr="008A17E1" w:rsidRDefault="008A17E1" w:rsidP="008A17E1">
      <w:pPr>
        <w:spacing w:after="0"/>
      </w:pPr>
    </w:p>
    <w:p w14:paraId="73AB5E1B" w14:textId="0EF7E8DC" w:rsidR="008A17E1" w:rsidRPr="008A17E1" w:rsidRDefault="008A17E1" w:rsidP="008A17E1">
      <w:pPr>
        <w:spacing w:after="0"/>
      </w:pPr>
      <w:r w:rsidRPr="008A17E1">
        <w:t xml:space="preserve">In this paper, I will attempt to explain </w:t>
      </w:r>
      <w:r w:rsidR="00F1761B">
        <w:t>my findings to solve this problem</w:t>
      </w:r>
      <w:r w:rsidRPr="008A17E1">
        <w:t xml:space="preserve">. Additionally, in this research paper, I will only include and back my assumptions with documented real-world events, alongside the broader context of market sentiment within </w:t>
      </w:r>
      <w:r>
        <w:t>that</w:t>
      </w:r>
      <w:r w:rsidRPr="008A17E1">
        <w:t xml:space="preserve"> particular day of release.</w:t>
      </w:r>
    </w:p>
    <w:p w14:paraId="1E627610" w14:textId="77777777" w:rsidR="00F1761B" w:rsidRDefault="00F1761B" w:rsidP="00404D82">
      <w:pPr>
        <w:spacing w:after="0"/>
      </w:pPr>
    </w:p>
    <w:p w14:paraId="65DD7F92" w14:textId="17DA560F" w:rsidR="00653F1A" w:rsidRPr="00F1761B" w:rsidRDefault="00C40B1E" w:rsidP="00653F1A">
      <w:pPr>
        <w:spacing w:after="0"/>
        <w:rPr>
          <w:b/>
          <w:bCs/>
        </w:rPr>
      </w:pPr>
      <w:r w:rsidRPr="00F1761B">
        <w:rPr>
          <w:b/>
          <w:bCs/>
        </w:rPr>
        <w:t>Methodology:</w:t>
      </w:r>
    </w:p>
    <w:p w14:paraId="6D7F40BA" w14:textId="7CD3F92E" w:rsidR="00653F1A" w:rsidRPr="00F1761B" w:rsidRDefault="008A17E1" w:rsidP="00F1761B">
      <w:pPr>
        <w:rPr>
          <w:rFonts w:asciiTheme="majorBidi" w:hAnsiTheme="majorBidi" w:cstheme="majorBidi"/>
          <w:i/>
          <w:iCs/>
        </w:rPr>
      </w:pPr>
      <w:r w:rsidRPr="00F1761B">
        <w:rPr>
          <w:rFonts w:asciiTheme="majorBidi" w:hAnsiTheme="majorBidi" w:cstheme="majorBidi"/>
          <w:i/>
          <w:iCs/>
        </w:rPr>
        <w:t>Other Factors</w:t>
      </w:r>
      <w:r w:rsidR="00653F1A" w:rsidRPr="00F1761B">
        <w:rPr>
          <w:rFonts w:asciiTheme="majorBidi" w:hAnsiTheme="majorBidi" w:cstheme="majorBidi"/>
          <w:i/>
          <w:iCs/>
        </w:rPr>
        <w:t xml:space="preserve"> and News variability:</w:t>
      </w:r>
      <w:r w:rsidR="00F1761B">
        <w:rPr>
          <w:rFonts w:asciiTheme="majorBidi" w:hAnsiTheme="majorBidi" w:cstheme="majorBidi"/>
          <w:i/>
          <w:iCs/>
        </w:rPr>
        <w:t xml:space="preserve"> </w:t>
      </w:r>
      <w:r w:rsidR="00653F1A" w:rsidRPr="00653F1A">
        <w:t xml:space="preserve">In addition to the immediate reaction of markets to news events, there are several variables—including technical factors—that play a role in pricing an asset and setting the broader market context. </w:t>
      </w:r>
      <w:r w:rsidR="001D53AC">
        <w:rPr>
          <w:rStyle w:val="FootnoteReference"/>
        </w:rPr>
        <w:footnoteReference w:id="5"/>
      </w:r>
      <w:r w:rsidR="001D53AC">
        <w:t xml:space="preserve"> </w:t>
      </w:r>
      <w:r w:rsidR="00653F1A" w:rsidRPr="00653F1A">
        <w:t>Take, for example, the volatility experienced by the metals market on January 30, 2026. I argue that the reason for such a significant move was largely USD-driven, triggered by the following sequence of news releases (all times in GMT+3):</w:t>
      </w:r>
    </w:p>
    <w:p w14:paraId="56F91113" w14:textId="2C10E716" w:rsidR="00F1761B" w:rsidRPr="00F1761B" w:rsidRDefault="00653F1A" w:rsidP="00F1761B">
      <w:pPr>
        <w:spacing w:after="0"/>
        <w:rPr>
          <w:rFonts w:cstheme="minorHAnsi"/>
          <w:i/>
          <w:iCs/>
        </w:rPr>
      </w:pPr>
      <w:r w:rsidRPr="00F1761B">
        <w:rPr>
          <w:rFonts w:cstheme="minorHAnsi"/>
          <w:i/>
          <w:iCs/>
        </w:rPr>
        <w:t xml:space="preserve">(01:30) Trump backs Senate government funding deal that includes DHS extension: </w:t>
      </w:r>
    </w:p>
    <w:p w14:paraId="45E3040D" w14:textId="336579A9" w:rsidR="00653F1A" w:rsidRPr="00653F1A" w:rsidRDefault="00653F1A" w:rsidP="00F1761B">
      <w:pPr>
        <w:spacing w:after="0"/>
      </w:pPr>
      <w:r w:rsidRPr="00653F1A">
        <w:t>This implied an end to the US partial shutdown narrative, reducing domestic political risk.</w:t>
      </w:r>
    </w:p>
    <w:p w14:paraId="2A3DDD85" w14:textId="77777777" w:rsidR="001D53AC" w:rsidRDefault="001D53AC" w:rsidP="00F1761B">
      <w:pPr>
        <w:spacing w:after="0"/>
        <w:rPr>
          <w:rFonts w:cstheme="minorHAnsi"/>
          <w:i/>
          <w:iCs/>
        </w:rPr>
      </w:pPr>
    </w:p>
    <w:p w14:paraId="761EBE2E" w14:textId="6B0B4408" w:rsidR="00F1761B" w:rsidRPr="00F1761B" w:rsidRDefault="00653F1A" w:rsidP="00F1761B">
      <w:pPr>
        <w:spacing w:after="0"/>
        <w:rPr>
          <w:rFonts w:cstheme="minorHAnsi"/>
          <w:i/>
          <w:iCs/>
        </w:rPr>
      </w:pPr>
      <w:r w:rsidRPr="00F1761B">
        <w:rPr>
          <w:rFonts w:cstheme="minorHAnsi"/>
          <w:i/>
          <w:iCs/>
        </w:rPr>
        <w:t xml:space="preserve">(02:38) Trump: "I am planning to talk to Iran": </w:t>
      </w:r>
    </w:p>
    <w:p w14:paraId="311F3087" w14:textId="3FFA0857" w:rsidR="00653F1A" w:rsidRPr="00F1761B" w:rsidRDefault="00653F1A" w:rsidP="00F1761B">
      <w:pPr>
        <w:spacing w:after="0"/>
        <w:rPr>
          <w:rFonts w:cstheme="minorHAnsi"/>
        </w:rPr>
      </w:pPr>
      <w:r w:rsidRPr="00F1761B">
        <w:rPr>
          <w:rFonts w:cstheme="minorHAnsi"/>
        </w:rPr>
        <w:t>This signaled a de-escalation in the geopolitical narrative that had been ongoing for several days.</w:t>
      </w:r>
    </w:p>
    <w:p w14:paraId="15943CD0" w14:textId="035A1363" w:rsidR="00F1761B" w:rsidRPr="00F1761B" w:rsidRDefault="00653F1A" w:rsidP="00F1761B">
      <w:pPr>
        <w:spacing w:after="0"/>
        <w:rPr>
          <w:rFonts w:cstheme="minorHAnsi"/>
          <w:i/>
          <w:iCs/>
        </w:rPr>
      </w:pPr>
      <w:r w:rsidRPr="00F1761B">
        <w:rPr>
          <w:rFonts w:cstheme="minorHAnsi"/>
          <w:i/>
          <w:iCs/>
        </w:rPr>
        <w:t xml:space="preserve">(14:43) Rumors that Mr. Kevin Warsh will be the new Fed Chair </w:t>
      </w:r>
    </w:p>
    <w:p w14:paraId="52DB4CBD" w14:textId="1584E278" w:rsidR="00F1761B" w:rsidRPr="00F1761B" w:rsidRDefault="00F1761B" w:rsidP="00653F1A">
      <w:pPr>
        <w:spacing w:after="0"/>
        <w:rPr>
          <w:rFonts w:cstheme="minorHAnsi"/>
        </w:rPr>
      </w:pPr>
      <w:r w:rsidRPr="00F1761B">
        <w:rPr>
          <w:rFonts w:cstheme="minorHAnsi"/>
        </w:rPr>
        <w:t>This signaled a more hawkish expected communication from the federal reserve</w:t>
      </w:r>
      <w:r w:rsidR="001D53AC">
        <w:rPr>
          <w:rFonts w:cstheme="minorHAnsi"/>
        </w:rPr>
        <w:t xml:space="preserve"> – Less Dovish than Mr. Stephen Miran</w:t>
      </w:r>
      <w:r w:rsidRPr="00F1761B">
        <w:rPr>
          <w:rFonts w:cstheme="minorHAnsi"/>
        </w:rPr>
        <w:t>.</w:t>
      </w:r>
      <w:r w:rsidRPr="00F1761B">
        <w:rPr>
          <w:rStyle w:val="FootnoteReference"/>
          <w:rFonts w:cstheme="minorHAnsi"/>
        </w:rPr>
        <w:footnoteReference w:id="6"/>
      </w:r>
    </w:p>
    <w:p w14:paraId="469C0956" w14:textId="78F616D8" w:rsidR="00653F1A" w:rsidRPr="00653F1A" w:rsidRDefault="00653F1A" w:rsidP="00653F1A">
      <w:pPr>
        <w:spacing w:after="0"/>
      </w:pPr>
      <w:r>
        <w:br/>
      </w:r>
      <w:r w:rsidRPr="00653F1A">
        <w:t>In any other market condition, one might expect a sustained, directional move. Instead, the market witnessed an immediate $1,000 sell-off, taking the price of Gold to $4,600 in a single day. This type of volatility is more commonly witnessed in cryptocurrencies like Bitcoin, where technical factors often play a key role in overstating news events.</w:t>
      </w:r>
    </w:p>
    <w:p w14:paraId="3FCC88E1" w14:textId="77777777" w:rsidR="008A17E1" w:rsidRDefault="008A17E1" w:rsidP="00C40B1E">
      <w:pPr>
        <w:spacing w:after="0"/>
      </w:pPr>
    </w:p>
    <w:p w14:paraId="269AD8F0" w14:textId="3D594EA7" w:rsidR="00653F1A" w:rsidRPr="00F1761B" w:rsidRDefault="00653F1A" w:rsidP="00653F1A">
      <w:pPr>
        <w:rPr>
          <w:rFonts w:asciiTheme="majorBidi" w:hAnsiTheme="majorBidi" w:cstheme="majorBidi"/>
          <w:i/>
          <w:iCs/>
        </w:rPr>
      </w:pPr>
      <w:r w:rsidRPr="00F1761B">
        <w:rPr>
          <w:rFonts w:asciiTheme="majorBidi" w:hAnsiTheme="majorBidi" w:cstheme="majorBidi"/>
          <w:i/>
          <w:iCs/>
        </w:rPr>
        <w:t>Qualitative vs. Quantitative:</w:t>
      </w:r>
    </w:p>
    <w:p w14:paraId="69112B1B" w14:textId="77777777" w:rsidR="001944F4" w:rsidRDefault="001944F4" w:rsidP="001944F4">
      <w:pPr>
        <w:spacing w:after="0"/>
      </w:pPr>
      <w:r>
        <w:t xml:space="preserve">The optimal way to solve the problem of dual-interpreted news headlines is through active market participation or qualitative research and data collection, rather than using purely </w:t>
      </w:r>
      <w:r>
        <w:lastRenderedPageBreak/>
        <w:t>quantitative methods to assess historical data. As demonstrated in the previous section, it is essential to interpret each headline through the lens of the broader market context.</w:t>
      </w:r>
    </w:p>
    <w:p w14:paraId="52AFA1B8" w14:textId="77777777" w:rsidR="001944F4" w:rsidRDefault="001944F4" w:rsidP="001944F4">
      <w:pPr>
        <w:spacing w:after="0"/>
      </w:pPr>
    </w:p>
    <w:p w14:paraId="36DBF3CD" w14:textId="77777777" w:rsidR="001944F4" w:rsidRDefault="001944F4" w:rsidP="001944F4">
      <w:pPr>
        <w:spacing w:after="0"/>
      </w:pPr>
      <w:r>
        <w:t>There is a quantitative way that I have implemented to approach this—something that I will not include in this publication. However, the process starts with a qualitative approach, upon which a framework of execution could be based.</w:t>
      </w:r>
    </w:p>
    <w:p w14:paraId="2F24BECA" w14:textId="77777777" w:rsidR="001944F4" w:rsidRDefault="001944F4" w:rsidP="001944F4">
      <w:pPr>
        <w:spacing w:after="0"/>
      </w:pPr>
    </w:p>
    <w:p w14:paraId="48C259D0" w14:textId="47611FBA" w:rsidR="008C5161" w:rsidRDefault="001944F4" w:rsidP="001944F4">
      <w:pPr>
        <w:spacing w:after="0"/>
      </w:pPr>
      <w:r>
        <w:t>The primary reason for a qualitative-focused approach is that financial markets are highly complex, random, and interconnected. The following example will be assessed within the broader market context.</w:t>
      </w:r>
    </w:p>
    <w:p w14:paraId="21357389" w14:textId="77777777" w:rsidR="00FD0D16" w:rsidRDefault="00FD0D16" w:rsidP="001944F4">
      <w:pPr>
        <w:spacing w:after="0"/>
      </w:pPr>
    </w:p>
    <w:p w14:paraId="6FAC8EDA" w14:textId="06BBFD85" w:rsidR="008C5161" w:rsidRPr="009A1BF7" w:rsidRDefault="008C5161" w:rsidP="008C5161">
      <w:pPr>
        <w:rPr>
          <w:b/>
          <w:bCs/>
          <w:i/>
          <w:iCs/>
        </w:rPr>
      </w:pPr>
      <w:r w:rsidRPr="009A1BF7">
        <w:rPr>
          <w:b/>
          <w:bCs/>
          <w:i/>
          <w:iCs/>
        </w:rPr>
        <w:t>Primary Case Study: The N</w:t>
      </w:r>
      <w:r w:rsidRPr="00FC47BB">
        <w:rPr>
          <w:b/>
          <w:bCs/>
          <w:i/>
          <w:iCs/>
        </w:rPr>
        <w:t xml:space="preserve">onfarm </w:t>
      </w:r>
      <w:r w:rsidR="00FC47BB">
        <w:rPr>
          <w:b/>
          <w:bCs/>
          <w:i/>
          <w:iCs/>
        </w:rPr>
        <w:t>P</w:t>
      </w:r>
      <w:r w:rsidRPr="00FC47BB">
        <w:rPr>
          <w:b/>
          <w:bCs/>
          <w:i/>
          <w:iCs/>
        </w:rPr>
        <w:t>ayroll</w:t>
      </w:r>
      <w:r w:rsidRPr="009A1BF7">
        <w:rPr>
          <w:b/>
          <w:bCs/>
          <w:i/>
          <w:iCs/>
        </w:rPr>
        <w:t xml:space="preserve"> </w:t>
      </w:r>
      <w:r w:rsidR="00FC47BB">
        <w:rPr>
          <w:b/>
          <w:bCs/>
          <w:i/>
          <w:iCs/>
        </w:rPr>
        <w:t>Report Release</w:t>
      </w:r>
      <w:r w:rsidR="009C7BBE">
        <w:rPr>
          <w:b/>
          <w:bCs/>
          <w:i/>
          <w:iCs/>
        </w:rPr>
        <w:t>d</w:t>
      </w:r>
      <w:r w:rsidRPr="009A1BF7">
        <w:rPr>
          <w:b/>
          <w:bCs/>
          <w:i/>
          <w:iCs/>
        </w:rPr>
        <w:t xml:space="preserve"> o</w:t>
      </w:r>
      <w:r w:rsidR="009C7BBE">
        <w:rPr>
          <w:b/>
          <w:bCs/>
          <w:i/>
          <w:iCs/>
        </w:rPr>
        <w:t>n</w:t>
      </w:r>
      <w:r w:rsidRPr="009A1BF7">
        <w:rPr>
          <w:b/>
          <w:bCs/>
          <w:i/>
          <w:iCs/>
        </w:rPr>
        <w:t xml:space="preserve"> August </w:t>
      </w:r>
      <w:r w:rsidR="009C7BBE">
        <w:rPr>
          <w:b/>
          <w:bCs/>
          <w:i/>
          <w:iCs/>
        </w:rPr>
        <w:t>5</w:t>
      </w:r>
      <w:r w:rsidR="009C7BBE" w:rsidRPr="009C7BBE">
        <w:rPr>
          <w:b/>
          <w:bCs/>
          <w:i/>
          <w:iCs/>
          <w:vertAlign w:val="superscript"/>
        </w:rPr>
        <w:t>th</w:t>
      </w:r>
      <w:r w:rsidR="009C7BBE">
        <w:rPr>
          <w:b/>
          <w:bCs/>
          <w:i/>
          <w:iCs/>
        </w:rPr>
        <w:t xml:space="preserve"> </w:t>
      </w:r>
      <w:r w:rsidRPr="009A1BF7">
        <w:rPr>
          <w:b/>
          <w:bCs/>
          <w:i/>
          <w:iCs/>
        </w:rPr>
        <w:t>2024</w:t>
      </w:r>
    </w:p>
    <w:p w14:paraId="42C65263" w14:textId="49FFCF7C" w:rsidR="00FD0D16" w:rsidRPr="00FD0D16" w:rsidRDefault="008C5161" w:rsidP="00FD0D16">
      <w:r w:rsidRPr="009A1BF7">
        <w:t xml:space="preserve">This research specifically uses the August 4th, 2024, market reaction to the </w:t>
      </w:r>
      <w:r w:rsidR="001944F4">
        <w:t>negative</w:t>
      </w:r>
      <w:r w:rsidRPr="009A1BF7">
        <w:t xml:space="preserve"> </w:t>
      </w:r>
      <w:r w:rsidR="001944F4">
        <w:t xml:space="preserve">economic data of </w:t>
      </w:r>
      <w:r w:rsidRPr="009A1BF7">
        <w:t>Non-Farm Payroll (NFP)</w:t>
      </w:r>
      <w:r w:rsidR="001944F4">
        <w:t xml:space="preserve"> </w:t>
      </w:r>
      <w:r w:rsidRPr="009A1BF7">
        <w:t>released on August 2nd.</w:t>
      </w:r>
      <w:r w:rsidR="001944F4">
        <w:rPr>
          <w:rStyle w:val="FootnoteReference"/>
        </w:rPr>
        <w:footnoteReference w:id="7"/>
      </w:r>
      <w:r w:rsidR="00FC47BB">
        <w:t xml:space="preserve"> </w:t>
      </w:r>
      <w:r w:rsidRPr="009A1BF7">
        <w:t xml:space="preserve">Throughout 2024, a weak NFP print was accounted for as a weak USD signal and a direct, linear bullish reaction for Gold or equities. This was the "Dovish Fed" </w:t>
      </w:r>
      <w:r w:rsidR="00FC47BB">
        <w:t>market condition</w:t>
      </w:r>
      <w:r w:rsidRPr="009A1BF7">
        <w:t>:</w:t>
      </w:r>
    </w:p>
    <w:p w14:paraId="19EA3BAB" w14:textId="5F94738A" w:rsidR="00FD0D16" w:rsidRDefault="008C5161" w:rsidP="00FD0D16">
      <w:pPr>
        <w:rPr>
          <w:rFonts w:asciiTheme="majorBidi" w:hAnsiTheme="majorBidi" w:cstheme="majorBidi"/>
          <w:i/>
          <w:iCs/>
        </w:rPr>
      </w:pPr>
      <w:r w:rsidRPr="001944F4">
        <w:rPr>
          <w:rFonts w:asciiTheme="majorBidi" w:hAnsiTheme="majorBidi" w:cstheme="majorBidi"/>
          <w:i/>
          <w:iCs/>
        </w:rPr>
        <w:t>Lower Rates Expected</w:t>
      </w:r>
      <w:r w:rsidR="00FC47BB" w:rsidRPr="001944F4">
        <w:rPr>
          <w:rFonts w:asciiTheme="majorBidi" w:hAnsiTheme="majorBidi" w:cstheme="majorBidi"/>
          <w:i/>
          <w:iCs/>
        </w:rPr>
        <w:t xml:space="preserve">, </w:t>
      </w:r>
      <w:r w:rsidRPr="001944F4">
        <w:rPr>
          <w:rFonts w:asciiTheme="majorBidi" w:hAnsiTheme="majorBidi" w:cstheme="majorBidi"/>
          <w:i/>
          <w:iCs/>
        </w:rPr>
        <w:t>Lower Yields</w:t>
      </w:r>
      <w:r w:rsidR="00FC47BB" w:rsidRPr="001944F4">
        <w:rPr>
          <w:rFonts w:asciiTheme="majorBidi" w:hAnsiTheme="majorBidi" w:cstheme="majorBidi"/>
          <w:i/>
          <w:iCs/>
        </w:rPr>
        <w:t xml:space="preserve">, </w:t>
      </w:r>
    </w:p>
    <w:p w14:paraId="3D8C1CBF" w14:textId="07AC8B70" w:rsidR="00FD0D16" w:rsidRDefault="008C5161" w:rsidP="00A259A1">
      <w:pPr>
        <w:rPr>
          <w:rFonts w:asciiTheme="majorBidi" w:hAnsiTheme="majorBidi" w:cstheme="majorBidi"/>
          <w:i/>
          <w:iCs/>
        </w:rPr>
      </w:pPr>
      <w:r w:rsidRPr="001944F4">
        <w:rPr>
          <w:rFonts w:asciiTheme="majorBidi" w:hAnsiTheme="majorBidi" w:cstheme="majorBidi"/>
          <w:i/>
          <w:iCs/>
        </w:rPr>
        <w:t>Weaker USD</w:t>
      </w:r>
      <w:r w:rsidR="00FC47BB" w:rsidRPr="001944F4">
        <w:rPr>
          <w:rFonts w:asciiTheme="majorBidi" w:hAnsiTheme="majorBidi" w:cstheme="majorBidi"/>
          <w:i/>
          <w:iCs/>
        </w:rPr>
        <w:t xml:space="preserve">, </w:t>
      </w:r>
      <w:r w:rsidRPr="001944F4">
        <w:rPr>
          <w:rFonts w:asciiTheme="majorBidi" w:hAnsiTheme="majorBidi" w:cstheme="majorBidi"/>
          <w:i/>
          <w:iCs/>
        </w:rPr>
        <w:t>Higher XAUUSD / Higher Equities</w:t>
      </w:r>
    </w:p>
    <w:p w14:paraId="239E47AA" w14:textId="77777777" w:rsidR="006F0CB5" w:rsidRDefault="006F0CB5" w:rsidP="00FC47BB">
      <w:pPr>
        <w:rPr>
          <w:rFonts w:asciiTheme="majorBidi" w:hAnsiTheme="majorBidi" w:cstheme="majorBidi"/>
          <w:i/>
          <w:iCs/>
        </w:rPr>
      </w:pPr>
    </w:p>
    <w:p w14:paraId="2327F8A9" w14:textId="206D7E98" w:rsidR="00FD0D16" w:rsidRDefault="008C5161" w:rsidP="00FC47BB">
      <w:r w:rsidRPr="009A1BF7">
        <w:t xml:space="preserve">On August 2nd, the NFP miss was so significant that it triggered a </w:t>
      </w:r>
      <w:r w:rsidRPr="001944F4">
        <w:rPr>
          <w:rFonts w:asciiTheme="majorBidi" w:hAnsiTheme="majorBidi" w:cstheme="majorBidi"/>
          <w:i/>
          <w:iCs/>
        </w:rPr>
        <w:t>dual-interpretation</w:t>
      </w:r>
      <w:r w:rsidRPr="001944F4">
        <w:rPr>
          <w:i/>
          <w:iCs/>
        </w:rPr>
        <w:t>.</w:t>
      </w:r>
      <w:r w:rsidRPr="009A1BF7">
        <w:t xml:space="preserve"> The market stopped caring about the </w:t>
      </w:r>
      <w:r w:rsidRPr="009A1BF7">
        <w:rPr>
          <w:i/>
          <w:iCs/>
        </w:rPr>
        <w:t>cost of money</w:t>
      </w:r>
      <w:r w:rsidRPr="009A1BF7">
        <w:t xml:space="preserve"> (interest rates) and started worrying about the </w:t>
      </w:r>
      <w:r w:rsidRPr="009A1BF7">
        <w:rPr>
          <w:i/>
          <w:iCs/>
        </w:rPr>
        <w:t>return of money</w:t>
      </w:r>
      <w:r w:rsidRPr="009A1BF7">
        <w:t xml:space="preserve"> (recession/solvency). An</w:t>
      </w:r>
      <w:r w:rsidR="001944F4">
        <w:t>yone</w:t>
      </w:r>
      <w:r w:rsidRPr="009A1BF7">
        <w:t xml:space="preserve"> defaulting to the 2024 "Buy the Miss" logic would have been liquidated as the market narrative flipped to a recessionary sell-off. </w:t>
      </w:r>
    </w:p>
    <w:p w14:paraId="0831B536" w14:textId="7E6145D3" w:rsidR="00296EC9" w:rsidRDefault="008C5161" w:rsidP="00296EC9">
      <w:r w:rsidRPr="009A1BF7">
        <w:t xml:space="preserve">Other documented examples used in this research include the introduction of </w:t>
      </w:r>
      <w:r w:rsidR="00FD0D16">
        <w:t xml:space="preserve">Trump </w:t>
      </w:r>
      <w:r w:rsidRPr="009A1BF7">
        <w:t>tariffs in April</w:t>
      </w:r>
      <w:r w:rsidR="001944F4">
        <w:t xml:space="preserve"> 4</w:t>
      </w:r>
      <w:r w:rsidR="001944F4" w:rsidRPr="001944F4">
        <w:rPr>
          <w:vertAlign w:val="superscript"/>
        </w:rPr>
        <w:t>th</w:t>
      </w:r>
      <w:r w:rsidR="001944F4">
        <w:t xml:space="preserve"> of 2025</w:t>
      </w:r>
      <w:r w:rsidRPr="009A1BF7">
        <w:t xml:space="preserve">, where the </w:t>
      </w:r>
      <w:r w:rsidR="001944F4" w:rsidRPr="009A1BF7">
        <w:t>gold</w:t>
      </w:r>
      <w:r w:rsidRPr="009A1BF7">
        <w:t xml:space="preserve"> market plummeted </w:t>
      </w:r>
      <w:r w:rsidR="001944F4">
        <w:t xml:space="preserve">on equities liquidation </w:t>
      </w:r>
      <w:r w:rsidRPr="009A1BF7">
        <w:t xml:space="preserve">despite traditionally being a "safe haven" against </w:t>
      </w:r>
      <w:r w:rsidR="001944F4">
        <w:t>uncertainty.</w:t>
      </w:r>
    </w:p>
    <w:p w14:paraId="58CE3D1A" w14:textId="2A8D4235" w:rsidR="00FD0D16" w:rsidRPr="009A1BF7" w:rsidRDefault="00FD0D16" w:rsidP="00FD0D16">
      <w:pPr>
        <w:rPr>
          <w:b/>
          <w:bCs/>
        </w:rPr>
      </w:pPr>
      <w:r w:rsidRPr="009A1BF7">
        <w:rPr>
          <w:b/>
          <w:bCs/>
        </w:rPr>
        <w:t>Discussion and Execution Guidelines</w:t>
      </w:r>
    </w:p>
    <w:p w14:paraId="7B0AF46B" w14:textId="7158E600" w:rsidR="00FD0D16" w:rsidRPr="009A1BF7" w:rsidRDefault="00FD0D16" w:rsidP="00FD0D16">
      <w:r w:rsidRPr="009A1BF7">
        <w:t>If a firm is strictly quantitative and lacks interest in a purely discretionary approach, I propose "Dynamic Execution" framework to mitigate the risks of dual-interpretation.</w:t>
      </w:r>
    </w:p>
    <w:p w14:paraId="6E4FB53D" w14:textId="38E79218" w:rsidR="00FD0D16" w:rsidRPr="00FD0D16" w:rsidRDefault="00FD0D16" w:rsidP="00FD0D16">
      <w:pPr>
        <w:rPr>
          <w:rFonts w:asciiTheme="majorBidi" w:hAnsiTheme="majorBidi" w:cstheme="majorBidi"/>
          <w:i/>
          <w:iCs/>
        </w:rPr>
      </w:pPr>
      <w:r w:rsidRPr="00FD0D16">
        <w:rPr>
          <w:rFonts w:asciiTheme="majorBidi" w:hAnsiTheme="majorBidi" w:cstheme="majorBidi"/>
          <w:i/>
          <w:iCs/>
        </w:rPr>
        <w:t>Context-Based Programming</w:t>
      </w:r>
    </w:p>
    <w:p w14:paraId="1916E6DC" w14:textId="6C03E7DA" w:rsidR="00FD0D16" w:rsidRDefault="00FD0D16" w:rsidP="00FD0D16">
      <w:r>
        <w:lastRenderedPageBreak/>
        <w:t>This involves classification of all news events that are released through news agencies into different categories and assigning various weights to these news events. Something that I will not delve into in this paper.</w:t>
      </w:r>
    </w:p>
    <w:p w14:paraId="02E8D57B" w14:textId="7561BBD0" w:rsidR="00FD0D16" w:rsidRDefault="00FD0D16" w:rsidP="00FD0D16">
      <w:r w:rsidRPr="009A1BF7">
        <w:t xml:space="preserve">Rather than one static model, firms should identify the "prevailing context" </w:t>
      </w:r>
      <w:r>
        <w:t xml:space="preserve">and identify a ‘Regime’ change occurs. </w:t>
      </w:r>
    </w:p>
    <w:p w14:paraId="6EA3C3F4" w14:textId="139087BB" w:rsidR="00FD0D16" w:rsidRPr="00FD0D16" w:rsidRDefault="00FD0D16" w:rsidP="00FD0D16">
      <w:pPr>
        <w:rPr>
          <w:rFonts w:asciiTheme="majorBidi" w:hAnsiTheme="majorBidi" w:cstheme="majorBidi"/>
          <w:i/>
          <w:iCs/>
        </w:rPr>
      </w:pPr>
      <w:r w:rsidRPr="00FD0D16">
        <w:rPr>
          <w:rFonts w:asciiTheme="majorBidi" w:hAnsiTheme="majorBidi" w:cstheme="majorBidi"/>
          <w:i/>
          <w:iCs/>
        </w:rPr>
        <w:t>Discretionary Human Intervention</w:t>
      </w:r>
    </w:p>
    <w:p w14:paraId="2F1C7AF2" w14:textId="22513EA9" w:rsidR="00FD0D16" w:rsidRDefault="00FD0D16" w:rsidP="00FD0D16">
      <w:r>
        <w:t xml:space="preserve">This is done by </w:t>
      </w:r>
      <w:r w:rsidRPr="009A1BF7">
        <w:t>build</w:t>
      </w:r>
      <w:r>
        <w:t xml:space="preserve">ing </w:t>
      </w:r>
      <w:r w:rsidRPr="009A1BF7">
        <w:t>a process where discretionary judgment by humans is required during "high-ambiguity windows."</w:t>
      </w:r>
    </w:p>
    <w:p w14:paraId="72A57452" w14:textId="7D823985" w:rsidR="00FD0D16" w:rsidRPr="00FD0D16" w:rsidRDefault="00FD0D16" w:rsidP="00FD0D16">
      <w:pPr>
        <w:rPr>
          <w:rFonts w:asciiTheme="majorBidi" w:hAnsiTheme="majorBidi" w:cstheme="majorBidi"/>
          <w:i/>
          <w:iCs/>
        </w:rPr>
      </w:pPr>
      <w:r w:rsidRPr="00FD0D16">
        <w:rPr>
          <w:rFonts w:asciiTheme="majorBidi" w:hAnsiTheme="majorBidi" w:cstheme="majorBidi"/>
          <w:i/>
          <w:iCs/>
        </w:rPr>
        <w:t xml:space="preserve">Execution Guidelines </w:t>
      </w:r>
    </w:p>
    <w:p w14:paraId="506C68E5" w14:textId="786735F0" w:rsidR="00FD0D16" w:rsidRPr="009A1BF7" w:rsidRDefault="00FD0D16" w:rsidP="00FD0D16">
      <w:r w:rsidRPr="00FD0D16">
        <w:t>Bi-Directional Risk:</w:t>
      </w:r>
      <w:r w:rsidRPr="009A1BF7">
        <w:t xml:space="preserve"> Being willing to take both positions of a trade</w:t>
      </w:r>
      <w:r w:rsidR="00296EC9">
        <w:t>.</w:t>
      </w:r>
      <w:r w:rsidR="00296EC9">
        <w:rPr>
          <w:rStyle w:val="FootnoteReference"/>
        </w:rPr>
        <w:footnoteReference w:id="8"/>
      </w:r>
      <w:r w:rsidRPr="009A1BF7">
        <w:t xml:space="preserve"> </w:t>
      </w:r>
    </w:p>
    <w:p w14:paraId="7A8511D0" w14:textId="2911AE68" w:rsidR="00CF7A77" w:rsidRDefault="00FD0D16" w:rsidP="00A259A1">
      <w:r w:rsidRPr="00FD0D16">
        <w:t>Avoidance:</w:t>
      </w:r>
      <w:r w:rsidRPr="009A1BF7">
        <w:t xml:space="preserve"> Following a traditional risk management approach by not engaging in the market during specific news releases. While many firms avoid this, it is a valid quantitative choice when the "Signal-to-Noise" ratio is too low.</w:t>
      </w:r>
    </w:p>
    <w:p w14:paraId="472E85C4" w14:textId="77777777" w:rsidR="00A259A1" w:rsidRPr="00FD0D16" w:rsidRDefault="00A259A1" w:rsidP="00A259A1"/>
    <w:p w14:paraId="66213A4D" w14:textId="0A07EC29" w:rsidR="00FC47BB" w:rsidRDefault="00FC47BB" w:rsidP="00FC47BB">
      <w:pPr>
        <w:rPr>
          <w:b/>
          <w:bCs/>
        </w:rPr>
      </w:pPr>
      <w:r>
        <w:rPr>
          <w:b/>
          <w:bCs/>
        </w:rPr>
        <w:t xml:space="preserve">Other </w:t>
      </w:r>
      <w:r w:rsidR="00A259A1">
        <w:rPr>
          <w:b/>
          <w:bCs/>
        </w:rPr>
        <w:t xml:space="preserve">Recent </w:t>
      </w:r>
      <w:r>
        <w:rPr>
          <w:b/>
          <w:bCs/>
        </w:rPr>
        <w:t>News events:</w:t>
      </w:r>
    </w:p>
    <w:p w14:paraId="23C69A3B" w14:textId="7D509CF9" w:rsidR="00FC47BB" w:rsidRPr="009A1BF7" w:rsidRDefault="00FC47BB" w:rsidP="00FD0D16">
      <w:r w:rsidRPr="008C5161">
        <w:t xml:space="preserve">January 29 2026 Market Reaction to Microsoft AI overspending fears. </w:t>
      </w:r>
    </w:p>
    <w:p w14:paraId="1CE57061" w14:textId="77777777" w:rsidR="00296EC9" w:rsidRDefault="00296EC9" w:rsidP="00C14CD8">
      <w:pPr>
        <w:rPr>
          <w:b/>
          <w:bCs/>
        </w:rPr>
      </w:pPr>
    </w:p>
    <w:p w14:paraId="3C0D03A9" w14:textId="3E4F2C3F" w:rsidR="008C5161" w:rsidRDefault="00FC47BB" w:rsidP="00FC47BB">
      <w:pPr>
        <w:rPr>
          <w:b/>
          <w:bCs/>
        </w:rPr>
      </w:pPr>
      <w:r w:rsidRPr="00FC47BB">
        <w:rPr>
          <w:b/>
          <w:bCs/>
        </w:rPr>
        <w:t>Conclusion &amp; Academic Intent</w:t>
      </w:r>
    </w:p>
    <w:p w14:paraId="3946F520" w14:textId="58584AD2" w:rsidR="00CF7A77" w:rsidRDefault="00FD0D16" w:rsidP="00A259A1">
      <w:r w:rsidRPr="009A1BF7">
        <w:t xml:space="preserve">The "Dual-Interpretation" of news events represents a significant </w:t>
      </w:r>
      <w:r w:rsidR="00296EC9">
        <w:t>risk to investors.</w:t>
      </w:r>
      <w:r w:rsidRPr="009A1BF7">
        <w:t xml:space="preserve"> This </w:t>
      </w:r>
      <w:r w:rsidR="00296EC9">
        <w:t xml:space="preserve">Research </w:t>
      </w:r>
      <w:r w:rsidRPr="009A1BF7">
        <w:t xml:space="preserve">demonstrates that in </w:t>
      </w:r>
      <w:r w:rsidR="00296EC9">
        <w:t>the complex nature of financial</w:t>
      </w:r>
      <w:r w:rsidRPr="009A1BF7">
        <w:t xml:space="preserve"> market, the "headline" is secondary to the "context." By recognizing that markets are non-linear and subject to sudden regime shifts—as seen in the 2024 NFP data—</w:t>
      </w:r>
      <w:r w:rsidR="00296EC9">
        <w:t xml:space="preserve">Investors and </w:t>
      </w:r>
      <w:r w:rsidRPr="009A1BF7">
        <w:t>firms can better protect themselves against the inherent risks of automated execution in an ambiguous information environment</w:t>
      </w:r>
      <w:r w:rsidR="00296EC9">
        <w:t xml:space="preserve"> by context-based programming, Discretionary Human Intervention or Bidirectional and Avoidance Risk management strategies.</w:t>
      </w:r>
    </w:p>
    <w:p w14:paraId="51039F62" w14:textId="77777777" w:rsidR="00A259A1" w:rsidRDefault="00A259A1" w:rsidP="00A259A1"/>
    <w:p w14:paraId="3653057E" w14:textId="77777777" w:rsidR="00A259A1" w:rsidRDefault="00A259A1" w:rsidP="00A259A1"/>
    <w:p w14:paraId="68E6093C" w14:textId="77777777" w:rsidR="00CE6521" w:rsidRPr="00296EC9" w:rsidRDefault="00CE6521" w:rsidP="00A259A1"/>
    <w:p w14:paraId="771331F6" w14:textId="5EA139D6" w:rsidR="00FC47BB" w:rsidRPr="00296EC9" w:rsidRDefault="00FC47BB" w:rsidP="00296EC9">
      <w:pPr>
        <w:rPr>
          <w:b/>
          <w:bCs/>
        </w:rPr>
      </w:pPr>
      <w:r w:rsidRPr="00296EC9">
        <w:rPr>
          <w:b/>
          <w:bCs/>
        </w:rPr>
        <w:lastRenderedPageBreak/>
        <w:t>References</w:t>
      </w:r>
      <w:r w:rsidR="00296EC9" w:rsidRPr="00296EC9">
        <w:rPr>
          <w:b/>
          <w:bCs/>
        </w:rPr>
        <w:t>:</w:t>
      </w:r>
    </w:p>
    <w:p w14:paraId="36708F4C" w14:textId="77777777" w:rsidR="00FC47BB" w:rsidRPr="00FC47BB" w:rsidRDefault="00FC47BB" w:rsidP="00FC47BB">
      <w:r w:rsidRPr="00FC47BB">
        <w:t xml:space="preserve">Ellsberg, D. (1961). </w:t>
      </w:r>
      <w:r w:rsidRPr="00FC47BB">
        <w:rPr>
          <w:i/>
          <w:iCs/>
        </w:rPr>
        <w:t>Risk, Ambiguity, and the Savage Axioms.</w:t>
      </w:r>
      <w:r w:rsidRPr="00FC47BB">
        <w:t xml:space="preserve"> The Quarterly Journal of Economics. (Foundational text for decision-making under uncertainty).</w:t>
      </w:r>
    </w:p>
    <w:p w14:paraId="173623DD" w14:textId="77777777" w:rsidR="00FC47BB" w:rsidRPr="00FC47BB" w:rsidRDefault="00FC47BB" w:rsidP="00FC47BB">
      <w:r w:rsidRPr="00FC47BB">
        <w:t xml:space="preserve">Fama, E. F. (1970). </w:t>
      </w:r>
      <w:r w:rsidRPr="00FC47BB">
        <w:rPr>
          <w:i/>
          <w:iCs/>
        </w:rPr>
        <w:t>Efficient Capital Markets: A Review of Theory and Empirical Work.</w:t>
      </w:r>
      <w:r w:rsidRPr="00FC47BB">
        <w:t xml:space="preserve"> The Journal of Finance. (The basis for the Efficient Market Hypothesis).</w:t>
      </w:r>
    </w:p>
    <w:p w14:paraId="130A932E" w14:textId="60779EFF" w:rsidR="00FC47BB" w:rsidRPr="00FC47BB" w:rsidRDefault="00FC47BB" w:rsidP="00FC47BB">
      <w:r w:rsidRPr="00FC47BB">
        <w:t xml:space="preserve">Knight, F. H. (1921). </w:t>
      </w:r>
      <w:r w:rsidRPr="00FC47BB">
        <w:rPr>
          <w:i/>
          <w:iCs/>
        </w:rPr>
        <w:t>Risk, Uncertainty, and Profit.</w:t>
      </w:r>
      <w:r w:rsidRPr="00FC47BB">
        <w:t xml:space="preserve"> Houghton Mifflin. (The distinction between quantifiable risk and unquantifiable uncertainty).</w:t>
      </w:r>
    </w:p>
    <w:p w14:paraId="48CA63C8" w14:textId="5DF53133" w:rsidR="00FC47BB" w:rsidRPr="00FC47BB" w:rsidRDefault="00FC47BB" w:rsidP="00FC47BB">
      <w:r w:rsidRPr="00FC47BB">
        <w:t>Market Data Sources (202</w:t>
      </w:r>
      <w:r w:rsidR="00E530DE">
        <w:t>5</w:t>
      </w:r>
      <w:r w:rsidRPr="00FC47BB">
        <w:t xml:space="preserve">-2026): </w:t>
      </w:r>
      <w:r w:rsidR="00E530DE">
        <w:t>News</w:t>
      </w:r>
      <w:r w:rsidRPr="00FC47BB">
        <w:t xml:space="preserve"> headlines and price data </w:t>
      </w:r>
      <w:r w:rsidR="00E530DE">
        <w:t>obtained from various</w:t>
      </w:r>
      <w:r w:rsidRPr="00FC47BB">
        <w:t xml:space="preserve"> newsfeeds</w:t>
      </w:r>
      <w:r w:rsidR="00E530DE">
        <w:t xml:space="preserve"> and charting websites.</w:t>
      </w:r>
    </w:p>
    <w:p w14:paraId="7BA8D179" w14:textId="1192A54D" w:rsidR="00FC47BB" w:rsidRDefault="00FC47BB" w:rsidP="00C14CD8">
      <w:pPr>
        <w:rPr>
          <w:b/>
          <w:bCs/>
        </w:rPr>
      </w:pPr>
    </w:p>
    <w:p w14:paraId="78015247" w14:textId="613775B1" w:rsidR="00FC47BB" w:rsidRDefault="00FC47BB" w:rsidP="00C14CD8">
      <w:pPr>
        <w:rPr>
          <w:b/>
          <w:bCs/>
        </w:rPr>
      </w:pPr>
    </w:p>
    <w:p w14:paraId="2DB758FD" w14:textId="77777777" w:rsidR="00CF7A77" w:rsidRDefault="00CF7A77" w:rsidP="00C14CD8">
      <w:pPr>
        <w:rPr>
          <w:b/>
          <w:bCs/>
        </w:rPr>
      </w:pPr>
    </w:p>
    <w:p w14:paraId="6EB7C393" w14:textId="77777777" w:rsidR="00CF7A77" w:rsidRDefault="00CF7A77" w:rsidP="00C14CD8">
      <w:pPr>
        <w:rPr>
          <w:b/>
          <w:bCs/>
        </w:rPr>
      </w:pPr>
    </w:p>
    <w:p w14:paraId="3DFECAE3" w14:textId="77777777" w:rsidR="00CF7A77" w:rsidRDefault="00CF7A77" w:rsidP="00C14CD8">
      <w:pPr>
        <w:rPr>
          <w:b/>
          <w:bCs/>
        </w:rPr>
      </w:pPr>
    </w:p>
    <w:p w14:paraId="6D13EF96" w14:textId="77777777" w:rsidR="00CF7A77" w:rsidRDefault="00CF7A77" w:rsidP="00C14CD8">
      <w:pPr>
        <w:rPr>
          <w:b/>
          <w:bCs/>
        </w:rPr>
      </w:pPr>
    </w:p>
    <w:p w14:paraId="640D67C7" w14:textId="77777777" w:rsidR="00CF7A77" w:rsidRDefault="00CF7A77" w:rsidP="00C14CD8">
      <w:pPr>
        <w:rPr>
          <w:b/>
          <w:bCs/>
        </w:rPr>
      </w:pPr>
    </w:p>
    <w:p w14:paraId="7B21637D" w14:textId="77777777" w:rsidR="00CF7A77" w:rsidRDefault="00CF7A77" w:rsidP="00C14CD8">
      <w:pPr>
        <w:rPr>
          <w:b/>
          <w:bCs/>
        </w:rPr>
      </w:pPr>
    </w:p>
    <w:p w14:paraId="094FBF82" w14:textId="77777777" w:rsidR="00A259A1" w:rsidRDefault="00A259A1" w:rsidP="00C14CD8">
      <w:pPr>
        <w:rPr>
          <w:b/>
          <w:bCs/>
        </w:rPr>
      </w:pPr>
    </w:p>
    <w:p w14:paraId="481BE1EC" w14:textId="04A3A25D" w:rsidR="00CF7A77" w:rsidRPr="00CF7A77" w:rsidRDefault="00CF7A77" w:rsidP="00CF7A77">
      <w:pPr>
        <w:spacing w:after="0"/>
        <w:rPr>
          <w:rFonts w:asciiTheme="majorBidi" w:hAnsiTheme="majorBidi" w:cstheme="majorBidi"/>
          <w:i/>
          <w:iCs/>
          <w:sz w:val="18"/>
        </w:rPr>
      </w:pPr>
      <w:r w:rsidRPr="00CF7A77">
        <w:rPr>
          <w:rFonts w:asciiTheme="majorBidi" w:hAnsiTheme="majorBidi" w:cstheme="majorBidi"/>
          <w:i/>
          <w:iCs/>
          <w:sz w:val="18"/>
        </w:rPr>
        <w:t>General: The analysis provided in this report is for academic and informational purposes only. Information has been obtained from sources believed to be reliable, including reputable news agencies and newsfeeds. All pricing data and market observations are as of the close of the securities discussed, unless otherwise stated. Opinions, classifications, and estimates regarding market regimes constitute my personal judgment as of the date of this material and are subject to change without notice.</w:t>
      </w:r>
    </w:p>
    <w:p w14:paraId="7974F5F5" w14:textId="3A232FE7" w:rsidR="00CF7A77" w:rsidRDefault="00CF7A77" w:rsidP="00CF7A77">
      <w:pPr>
        <w:spacing w:after="0"/>
        <w:rPr>
          <w:rFonts w:asciiTheme="majorBidi" w:hAnsiTheme="majorBidi" w:cstheme="majorBidi"/>
          <w:i/>
          <w:iCs/>
          <w:sz w:val="18"/>
        </w:rPr>
      </w:pPr>
      <w:r w:rsidRPr="00CF7A77">
        <w:rPr>
          <w:rFonts w:asciiTheme="majorBidi" w:hAnsiTheme="majorBidi" w:cstheme="majorBidi"/>
          <w:i/>
          <w:iCs/>
          <w:sz w:val="18"/>
        </w:rPr>
        <w:t>Palestine, Mohanad Assali</w:t>
      </w:r>
      <w:r w:rsidRPr="00EC34D1">
        <w:rPr>
          <w:noProof/>
          <w:sz w:val="20"/>
          <w:szCs w:val="28"/>
        </w:rPr>
        <mc:AlternateContent>
          <mc:Choice Requires="wps">
            <w:drawing>
              <wp:anchor distT="0" distB="0" distL="0" distR="0" simplePos="0" relativeHeight="251659264" behindDoc="1" locked="0" layoutInCell="1" allowOverlap="1" wp14:anchorId="77A03AFC" wp14:editId="28C076FF">
                <wp:simplePos x="0" y="0"/>
                <wp:positionH relativeFrom="margin">
                  <wp:align>left</wp:align>
                </wp:positionH>
                <wp:positionV relativeFrom="paragraph">
                  <wp:posOffset>180975</wp:posOffset>
                </wp:positionV>
                <wp:extent cx="6337300" cy="9525"/>
                <wp:effectExtent l="0" t="0" r="0" b="0"/>
                <wp:wrapTopAndBottom/>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9525"/>
                        </a:xfrm>
                        <a:custGeom>
                          <a:avLst/>
                          <a:gdLst/>
                          <a:ahLst/>
                          <a:cxnLst/>
                          <a:rect l="l" t="t" r="r" b="b"/>
                          <a:pathLst>
                            <a:path w="6337300" h="9525">
                              <a:moveTo>
                                <a:pt x="6336792" y="0"/>
                              </a:moveTo>
                              <a:lnTo>
                                <a:pt x="0" y="0"/>
                              </a:lnTo>
                              <a:lnTo>
                                <a:pt x="0" y="9144"/>
                              </a:lnTo>
                              <a:lnTo>
                                <a:pt x="6336792" y="9144"/>
                              </a:lnTo>
                              <a:lnTo>
                                <a:pt x="6336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42D89" id="Graphic 470" o:spid="_x0000_s1026" style="position:absolute;margin-left:0;margin-top:14.25pt;width:499pt;height:.75pt;z-index:-251657216;visibility:visible;mso-wrap-style:square;mso-wrap-distance-left:0;mso-wrap-distance-top:0;mso-wrap-distance-right:0;mso-wrap-distance-bottom:0;mso-position-horizontal:left;mso-position-horizontal-relative:margin;mso-position-vertical:absolute;mso-position-vertical-relative:text;v-text-anchor:top" coordsize="6337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" path="m6336792,l,,,9144r6336792,l6336792,xe" fillcolor="black" stroked="f">
                <v:path arrowok="t"/>
                <w10:wrap type="topAndBottom" anchorx="margin"/>
              </v:shape>
            </w:pict>
          </mc:Fallback>
        </mc:AlternateContent>
      </w:r>
      <w:r w:rsidRPr="00CF7A77">
        <w:rPr>
          <w:rFonts w:asciiTheme="majorBidi" w:hAnsiTheme="majorBidi" w:cstheme="majorBidi"/>
          <w:i/>
          <w:iCs/>
          <w:sz w:val="18"/>
        </w:rPr>
        <w:t xml:space="preserve">. </w:t>
      </w:r>
    </w:p>
    <w:p w14:paraId="6D1E3EEE" w14:textId="1E7CB7D5" w:rsidR="00CF7A77" w:rsidRPr="00CF7A77" w:rsidRDefault="00CF7A77" w:rsidP="00CF7A77">
      <w:pPr>
        <w:spacing w:after="0"/>
        <w:rPr>
          <w:rFonts w:asciiTheme="majorBidi" w:hAnsiTheme="majorBidi" w:cstheme="majorBidi"/>
          <w:i/>
          <w:iCs/>
          <w:sz w:val="18"/>
        </w:rPr>
      </w:pPr>
    </w:p>
    <w:p w14:paraId="3417A27D" w14:textId="170CA9AC" w:rsidR="00CF7A77" w:rsidRPr="00CF7A77" w:rsidRDefault="00CF7A77" w:rsidP="00CF7A77">
      <w:pPr>
        <w:spacing w:after="0"/>
        <w:rPr>
          <w:rFonts w:asciiTheme="majorBidi" w:hAnsiTheme="majorBidi" w:cstheme="majorBidi"/>
          <w:i/>
          <w:iCs/>
          <w:sz w:val="18"/>
        </w:rPr>
      </w:pPr>
      <w:r w:rsidRPr="00CF7A77">
        <w:rPr>
          <w:rFonts w:asciiTheme="majorBidi" w:hAnsiTheme="majorBidi" w:cstheme="majorBidi"/>
          <w:i/>
          <w:iCs/>
          <w:sz w:val="18"/>
        </w:rPr>
        <w:t>Thanks for taking the time to read this report. Best regards. Mohanad Assali</w:t>
      </w:r>
    </w:p>
    <w:p w14:paraId="18C752D4" w14:textId="2356E76F" w:rsidR="00CB19A1" w:rsidRPr="00404D82" w:rsidRDefault="00CB19A1" w:rsidP="00404D82"/>
    <w:sectPr w:rsidR="00CB19A1" w:rsidRPr="00404D8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C990" w14:textId="77777777" w:rsidR="009649E9" w:rsidRDefault="009649E9" w:rsidP="007E3481">
      <w:pPr>
        <w:spacing w:after="0" w:line="240" w:lineRule="auto"/>
      </w:pPr>
      <w:r>
        <w:separator/>
      </w:r>
    </w:p>
  </w:endnote>
  <w:endnote w:type="continuationSeparator" w:id="0">
    <w:p w14:paraId="3277D032" w14:textId="77777777" w:rsidR="009649E9" w:rsidRDefault="009649E9" w:rsidP="007E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264411"/>
      <w:docPartObj>
        <w:docPartGallery w:val="Page Numbers (Bottom of Page)"/>
        <w:docPartUnique/>
      </w:docPartObj>
    </w:sdtPr>
    <w:sdtEndPr>
      <w:rPr>
        <w:color w:val="7F7F7F" w:themeColor="background1" w:themeShade="7F"/>
        <w:spacing w:val="60"/>
      </w:rPr>
    </w:sdtEndPr>
    <w:sdtContent>
      <w:p w14:paraId="03188AC0" w14:textId="49D713A9" w:rsidR="007E3481" w:rsidRDefault="007E348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11EFBD" w14:textId="77777777" w:rsidR="007E3481" w:rsidRDefault="007E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8AC6E" w14:textId="77777777" w:rsidR="009649E9" w:rsidRDefault="009649E9" w:rsidP="007E3481">
      <w:pPr>
        <w:spacing w:after="0" w:line="240" w:lineRule="auto"/>
      </w:pPr>
      <w:r>
        <w:separator/>
      </w:r>
    </w:p>
  </w:footnote>
  <w:footnote w:type="continuationSeparator" w:id="0">
    <w:p w14:paraId="08115917" w14:textId="77777777" w:rsidR="009649E9" w:rsidRDefault="009649E9" w:rsidP="007E3481">
      <w:pPr>
        <w:spacing w:after="0" w:line="240" w:lineRule="auto"/>
      </w:pPr>
      <w:r>
        <w:continuationSeparator/>
      </w:r>
    </w:p>
  </w:footnote>
  <w:footnote w:id="1">
    <w:p w14:paraId="0C36B892" w14:textId="3AF0BA36" w:rsidR="00A25720" w:rsidRDefault="00A25720" w:rsidP="00A25720">
      <w:pPr>
        <w:pStyle w:val="FootnoteText"/>
      </w:pPr>
      <w:r>
        <w:rPr>
          <w:rStyle w:val="FootnoteReference"/>
        </w:rPr>
        <w:footnoteRef/>
      </w:r>
      <w:r>
        <w:t xml:space="preserve"> </w:t>
      </w:r>
      <w:r w:rsidRPr="00A25720">
        <w:t>"Priced in" refers to the market mechanism where participants adjust their positions—buying or selling—to reflect new supply and demand conditions established by</w:t>
      </w:r>
      <w:r>
        <w:t xml:space="preserve"> the new information</w:t>
      </w:r>
    </w:p>
  </w:footnote>
  <w:footnote w:id="2">
    <w:p w14:paraId="59582685" w14:textId="3B51B855" w:rsidR="00A25720" w:rsidRDefault="00A25720" w:rsidP="00A25720">
      <w:pPr>
        <w:spacing w:after="0"/>
      </w:pPr>
      <w:r>
        <w:rPr>
          <w:rStyle w:val="FootnoteReference"/>
        </w:rPr>
        <w:footnoteRef/>
      </w:r>
      <w:r>
        <w:t xml:space="preserve"> </w:t>
      </w:r>
      <w:r w:rsidRPr="00A25720">
        <w:rPr>
          <w:sz w:val="20"/>
          <w:szCs w:val="20"/>
        </w:rPr>
        <w:t>This represents the general market observation. However, there are instances where price discovery is not instantaneous but rather unfolds over subsequent sessions or days. Notable examples include the reaction of August 30, 2024, and the baseline case of August 5, 2024.</w:t>
      </w:r>
    </w:p>
  </w:footnote>
  <w:footnote w:id="3">
    <w:p w14:paraId="1016EA51" w14:textId="2698A2ED" w:rsidR="00104C9F" w:rsidRDefault="00104C9F" w:rsidP="00104C9F">
      <w:pPr>
        <w:pStyle w:val="FootnoteText"/>
      </w:pPr>
      <w:r>
        <w:rPr>
          <w:rStyle w:val="FootnoteReference"/>
        </w:rPr>
        <w:footnoteRef/>
      </w:r>
      <w:r>
        <w:t xml:space="preserve"> </w:t>
      </w:r>
      <w:r w:rsidRPr="00104C9F">
        <w:t>Lo’s (2004) framework is particularly relevant to this research as it accounts for "Regime Switching." In this context, dual-interpreted news acts as the catalyst that shifts the market from a stable regime to a high-volatility, ambiguous regime.</w:t>
      </w:r>
    </w:p>
  </w:footnote>
  <w:footnote w:id="4">
    <w:p w14:paraId="1E1CC4B7" w14:textId="677EDEA7" w:rsidR="001D53AC" w:rsidRDefault="001D53AC" w:rsidP="001D53AC">
      <w:pPr>
        <w:pStyle w:val="FootnoteText"/>
      </w:pPr>
      <w:r>
        <w:rPr>
          <w:rStyle w:val="FootnoteReference"/>
        </w:rPr>
        <w:footnoteRef/>
      </w:r>
      <w:r>
        <w:t xml:space="preserve"> </w:t>
      </w:r>
      <w:r w:rsidRPr="001D53AC">
        <w:t>I argue that market regimes are only categorized by the different market sentiment assessed by a combination of macroeconomic factors. I will not delve deep into various market regimes in this paper.</w:t>
      </w:r>
    </w:p>
  </w:footnote>
  <w:footnote w:id="5">
    <w:p w14:paraId="4BF2ECE8" w14:textId="24A748DE" w:rsidR="001D53AC" w:rsidRDefault="001D53AC" w:rsidP="001D53AC">
      <w:pPr>
        <w:pStyle w:val="FootnoteText"/>
      </w:pPr>
      <w:r>
        <w:rPr>
          <w:rStyle w:val="FootnoteReference"/>
        </w:rPr>
        <w:footnoteRef/>
      </w:r>
      <w:r>
        <w:t xml:space="preserve"> </w:t>
      </w:r>
      <w:r w:rsidRPr="001D53AC">
        <w:t>Technical Analysis involves candlesticks, trendlines, etc. However, in this specific context, I am referring to elevated price levels (all-time highs).</w:t>
      </w:r>
    </w:p>
  </w:footnote>
  <w:footnote w:id="6">
    <w:p w14:paraId="7150CD18" w14:textId="55138720" w:rsidR="00F1761B" w:rsidRDefault="00F1761B">
      <w:pPr>
        <w:pStyle w:val="FootnoteText"/>
      </w:pPr>
      <w:r>
        <w:rPr>
          <w:rStyle w:val="FootnoteReference"/>
        </w:rPr>
        <w:footnoteRef/>
      </w:r>
      <w:r>
        <w:t xml:space="preserve"> Although </w:t>
      </w:r>
      <w:r w:rsidRPr="00F1761B">
        <w:t>Mr. Kevin Warsh was considered a dov</w:t>
      </w:r>
      <w:r>
        <w:t>ish candidate</w:t>
      </w:r>
      <w:r w:rsidRPr="00F1761B">
        <w:t xml:space="preserve">, the market reaction against </w:t>
      </w:r>
      <w:r>
        <w:t>a widespread narrative</w:t>
      </w:r>
      <w:r w:rsidRPr="00F1761B">
        <w:t xml:space="preserve"> could be explained in another classification of news events that I will not delve into in this paper.</w:t>
      </w:r>
    </w:p>
  </w:footnote>
  <w:footnote w:id="7">
    <w:p w14:paraId="35A09D23" w14:textId="4E504786" w:rsidR="001944F4" w:rsidRDefault="001944F4">
      <w:pPr>
        <w:pStyle w:val="FootnoteText"/>
      </w:pPr>
      <w:r>
        <w:rPr>
          <w:rStyle w:val="FootnoteReference"/>
        </w:rPr>
        <w:footnoteRef/>
      </w:r>
      <w:r>
        <w:t xml:space="preserve"> </w:t>
      </w:r>
      <w:r w:rsidRPr="00A25720">
        <w:t>This represents the general market observation. However, there are instances where price discovery is not instantaneous but rather unfolds over subsequent sessions or days. Notable examples include the reaction of August 30, 2024</w:t>
      </w:r>
      <w:r>
        <w:t xml:space="preserve"> to the Geopolitical de-escalation</w:t>
      </w:r>
      <w:r w:rsidRPr="00A25720">
        <w:t>, and the baseline case of August 5, 2024.</w:t>
      </w:r>
    </w:p>
  </w:footnote>
  <w:footnote w:id="8">
    <w:p w14:paraId="15F6FC44" w14:textId="312876ED" w:rsidR="00296EC9" w:rsidRDefault="00296EC9">
      <w:pPr>
        <w:pStyle w:val="FootnoteText"/>
      </w:pPr>
      <w:r>
        <w:rPr>
          <w:rStyle w:val="FootnoteReference"/>
        </w:rPr>
        <w:footnoteRef/>
      </w:r>
      <w:r>
        <w:t xml:space="preserve"> Delta-neutral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234D" w14:textId="36F25B63" w:rsidR="004D761B" w:rsidRDefault="00CF7A77">
    <w:pPr>
      <w:pStyle w:val="Header"/>
      <w:pBdr>
        <w:bottom w:val="single" w:sz="4" w:space="1" w:color="D9D9D9" w:themeColor="background1" w:themeShade="D9"/>
      </w:pBdr>
      <w:rPr>
        <w:b/>
        <w:bCs/>
      </w:rPr>
    </w:pPr>
    <w:r w:rsidRPr="004E54DD">
      <w:rPr>
        <w:rFonts w:ascii="Arial"/>
        <w:b/>
        <w:noProof/>
        <w:color w:val="4D8ABE"/>
        <w:sz w:val="40"/>
      </w:rPr>
      <mc:AlternateContent>
        <mc:Choice Requires="wps">
          <w:drawing>
            <wp:anchor distT="45720" distB="45720" distL="114300" distR="114300" simplePos="0" relativeHeight="251661312" behindDoc="0" locked="0" layoutInCell="1" allowOverlap="1" wp14:anchorId="22BF64A0" wp14:editId="6759C2B6">
              <wp:simplePos x="0" y="0"/>
              <wp:positionH relativeFrom="margin">
                <wp:posOffset>4906645</wp:posOffset>
              </wp:positionH>
              <wp:positionV relativeFrom="paragraph">
                <wp:posOffset>-171450</wp:posOffset>
              </wp:positionV>
              <wp:extent cx="1494692" cy="360485"/>
              <wp:effectExtent l="0" t="0" r="0" b="1905"/>
              <wp:wrapNone/>
              <wp:docPr id="547599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692" cy="360485"/>
                      </a:xfrm>
                      <a:prstGeom prst="rect">
                        <a:avLst/>
                      </a:prstGeom>
                      <a:noFill/>
                      <a:ln w="9525">
                        <a:noFill/>
                        <a:miter lim="800000"/>
                        <a:headEnd/>
                        <a:tailEnd/>
                      </a:ln>
                    </wps:spPr>
                    <wps:txbx>
                      <w:txbxContent>
                        <w:p w14:paraId="4E077327" w14:textId="56238647" w:rsidR="004269D5" w:rsidRPr="00CF7A77" w:rsidRDefault="004269D5" w:rsidP="004269D5">
                          <w:pPr>
                            <w:spacing w:after="0"/>
                            <w:rPr>
                              <w:rFonts w:asciiTheme="majorBidi" w:hAnsiTheme="majorBidi" w:cstheme="majorBidi"/>
                              <w:i/>
                              <w:iCs/>
                              <w:color w:val="000000" w:themeColor="text1"/>
                              <w:sz w:val="20"/>
                              <w:szCs w:val="20"/>
                            </w:rPr>
                          </w:pPr>
                          <w:r w:rsidRPr="00CF7A77">
                            <w:rPr>
                              <w:rFonts w:asciiTheme="majorBidi" w:hAnsiTheme="majorBidi" w:cstheme="majorBidi"/>
                              <w:i/>
                              <w:iCs/>
                              <w:color w:val="000000" w:themeColor="text1"/>
                              <w:sz w:val="20"/>
                              <w:szCs w:val="20"/>
                            </w:rPr>
                            <w:t>Research thesis</w:t>
                          </w:r>
                        </w:p>
                        <w:p w14:paraId="0ED9835A" w14:textId="70B456B2" w:rsidR="004269D5" w:rsidRPr="004269D5" w:rsidRDefault="004269D5" w:rsidP="004269D5">
                          <w:pPr>
                            <w:spacing w:after="0"/>
                            <w:rPr>
                              <w:rFonts w:asciiTheme="minorBidi" w:hAnsiTheme="minorBidi"/>
                              <w:b/>
                              <w:bCs/>
                              <w:color w:val="000000" w:themeColor="text1"/>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F64A0" id="_x0000_t202" coordsize="21600,21600" o:spt="202" path="m,l,21600r21600,l21600,xe">
              <v:stroke joinstyle="miter"/>
              <v:path gradientshapeok="t" o:connecttype="rect"/>
            </v:shapetype>
            <v:shape id="Text Box 2" o:spid="_x0000_s1026" type="#_x0000_t202" style="position:absolute;margin-left:386.35pt;margin-top:-13.5pt;width:117.7pt;height:28.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" filled="f" stroked="f">
              <v:textbox>
                <w:txbxContent>
                  <w:p w14:paraId="4E077327" w14:textId="56238647" w:rsidR="004269D5" w:rsidRPr="00CF7A77" w:rsidRDefault="004269D5" w:rsidP="004269D5">
                    <w:pPr>
                      <w:spacing w:after="0"/>
                      <w:rPr>
                        <w:rFonts w:asciiTheme="majorBidi" w:hAnsiTheme="majorBidi" w:cstheme="majorBidi"/>
                        <w:i/>
                        <w:iCs/>
                        <w:color w:val="000000" w:themeColor="text1"/>
                        <w:sz w:val="20"/>
                        <w:szCs w:val="20"/>
                      </w:rPr>
                    </w:pPr>
                    <w:r w:rsidRPr="00CF7A77">
                      <w:rPr>
                        <w:rFonts w:asciiTheme="majorBidi" w:hAnsiTheme="majorBidi" w:cstheme="majorBidi"/>
                        <w:i/>
                        <w:iCs/>
                        <w:color w:val="000000" w:themeColor="text1"/>
                        <w:sz w:val="20"/>
                        <w:szCs w:val="20"/>
                      </w:rPr>
                      <w:t>Research thesis</w:t>
                    </w:r>
                  </w:p>
                  <w:p w14:paraId="0ED9835A" w14:textId="70B456B2" w:rsidR="004269D5" w:rsidRPr="004269D5" w:rsidRDefault="004269D5" w:rsidP="004269D5">
                    <w:pPr>
                      <w:spacing w:after="0"/>
                      <w:rPr>
                        <w:rFonts w:asciiTheme="minorBidi" w:hAnsiTheme="minorBidi"/>
                        <w:b/>
                        <w:bCs/>
                        <w:color w:val="000000" w:themeColor="text1"/>
                        <w:sz w:val="8"/>
                        <w:szCs w:val="8"/>
                      </w:rPr>
                    </w:pPr>
                  </w:p>
                </w:txbxContent>
              </v:textbox>
              <w10:wrap anchorx="margin"/>
            </v:shape>
          </w:pict>
        </mc:Fallback>
      </mc:AlternateContent>
    </w:r>
    <w:r w:rsidRPr="004E54DD">
      <w:rPr>
        <w:rFonts w:ascii="Arial"/>
        <w:b/>
        <w:noProof/>
        <w:color w:val="4D8ABE"/>
        <w:sz w:val="40"/>
      </w:rPr>
      <mc:AlternateContent>
        <mc:Choice Requires="wps">
          <w:drawing>
            <wp:anchor distT="45720" distB="45720" distL="114300" distR="114300" simplePos="0" relativeHeight="251659264" behindDoc="0" locked="0" layoutInCell="1" allowOverlap="1" wp14:anchorId="78ED4014" wp14:editId="4CDB4BFE">
              <wp:simplePos x="0" y="0"/>
              <wp:positionH relativeFrom="column">
                <wp:posOffset>-66675</wp:posOffset>
              </wp:positionH>
              <wp:positionV relativeFrom="paragraph">
                <wp:posOffset>-200025</wp:posOffset>
              </wp:positionV>
              <wp:extent cx="1485900" cy="390525"/>
              <wp:effectExtent l="0" t="0" r="0" b="0"/>
              <wp:wrapNone/>
              <wp:docPr id="1317340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90525"/>
                      </a:xfrm>
                      <a:prstGeom prst="rect">
                        <a:avLst/>
                      </a:prstGeom>
                      <a:noFill/>
                      <a:ln w="9525">
                        <a:noFill/>
                        <a:miter lim="800000"/>
                        <a:headEnd/>
                        <a:tailEnd/>
                      </a:ln>
                    </wps:spPr>
                    <wps:txbx>
                      <w:txbxContent>
                        <w:p w14:paraId="4E942795" w14:textId="7D61B826" w:rsidR="001A7B93" w:rsidRPr="00CF7A77" w:rsidRDefault="004269D5" w:rsidP="001A7B93">
                          <w:pPr>
                            <w:spacing w:after="0"/>
                            <w:rPr>
                              <w:rFonts w:asciiTheme="majorBidi" w:hAnsiTheme="majorBidi" w:cstheme="majorBidi"/>
                              <w:i/>
                              <w:iCs/>
                              <w:color w:val="000000" w:themeColor="text1"/>
                              <w:sz w:val="20"/>
                              <w:szCs w:val="20"/>
                            </w:rPr>
                          </w:pPr>
                          <w:r w:rsidRPr="00CF7A77">
                            <w:rPr>
                              <w:rFonts w:asciiTheme="majorBidi" w:hAnsiTheme="majorBidi" w:cstheme="majorBidi"/>
                              <w:i/>
                              <w:iCs/>
                              <w:color w:val="000000" w:themeColor="text1"/>
                              <w:sz w:val="20"/>
                              <w:szCs w:val="20"/>
                            </w:rPr>
                            <w:t xml:space="preserve">Mohanad Assali </w:t>
                          </w:r>
                        </w:p>
                        <w:p w14:paraId="0DF6E2FC" w14:textId="77777777" w:rsidR="004269D5" w:rsidRPr="00601AD0" w:rsidRDefault="004269D5" w:rsidP="004269D5">
                          <w:pPr>
                            <w:rPr>
                              <w:rFonts w:asciiTheme="minorBidi" w:hAnsiTheme="minorBidi"/>
                              <w:b/>
                              <w:bCs/>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D4014" id="_x0000_s1027" type="#_x0000_t202" style="position:absolute;margin-left:-5.25pt;margin-top:-15.75pt;width:117pt;height:3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" filled="f" stroked="f">
              <v:textbox>
                <w:txbxContent>
                  <w:p w14:paraId="4E942795" w14:textId="7D61B826" w:rsidR="001A7B93" w:rsidRPr="00CF7A77" w:rsidRDefault="004269D5" w:rsidP="001A7B93">
                    <w:pPr>
                      <w:spacing w:after="0"/>
                      <w:rPr>
                        <w:rFonts w:asciiTheme="majorBidi" w:hAnsiTheme="majorBidi" w:cstheme="majorBidi"/>
                        <w:i/>
                        <w:iCs/>
                        <w:color w:val="000000" w:themeColor="text1"/>
                        <w:sz w:val="20"/>
                        <w:szCs w:val="20"/>
                      </w:rPr>
                    </w:pPr>
                    <w:r w:rsidRPr="00CF7A77">
                      <w:rPr>
                        <w:rFonts w:asciiTheme="majorBidi" w:hAnsiTheme="majorBidi" w:cstheme="majorBidi"/>
                        <w:i/>
                        <w:iCs/>
                        <w:color w:val="000000" w:themeColor="text1"/>
                        <w:sz w:val="20"/>
                        <w:szCs w:val="20"/>
                      </w:rPr>
                      <w:t xml:space="preserve">Mohanad Assali </w:t>
                    </w:r>
                  </w:p>
                  <w:p w14:paraId="0DF6E2FC" w14:textId="77777777" w:rsidR="004269D5" w:rsidRPr="00601AD0" w:rsidRDefault="004269D5" w:rsidP="004269D5">
                    <w:pPr>
                      <w:rPr>
                        <w:rFonts w:asciiTheme="minorBidi" w:hAnsiTheme="minorBidi"/>
                        <w:b/>
                        <w:bCs/>
                        <w:sz w:val="8"/>
                        <w:szCs w:val="8"/>
                      </w:rPr>
                    </w:pPr>
                  </w:p>
                </w:txbxContent>
              </v:textbox>
            </v:shape>
          </w:pict>
        </mc:Fallback>
      </mc:AlternateContent>
    </w:r>
  </w:p>
  <w:p w14:paraId="1539D1BD" w14:textId="77777777" w:rsidR="004D761B" w:rsidRDefault="004D7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0BE"/>
    <w:multiLevelType w:val="multilevel"/>
    <w:tmpl w:val="6772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75F61"/>
    <w:multiLevelType w:val="multilevel"/>
    <w:tmpl w:val="92D2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F7A57"/>
    <w:multiLevelType w:val="multilevel"/>
    <w:tmpl w:val="7BB2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57906"/>
    <w:multiLevelType w:val="hybridMultilevel"/>
    <w:tmpl w:val="67F23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02218"/>
    <w:multiLevelType w:val="multilevel"/>
    <w:tmpl w:val="30E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32D5C"/>
    <w:multiLevelType w:val="multilevel"/>
    <w:tmpl w:val="C6A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02018"/>
    <w:multiLevelType w:val="multilevel"/>
    <w:tmpl w:val="BB60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BC7406"/>
    <w:multiLevelType w:val="multilevel"/>
    <w:tmpl w:val="B13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77854"/>
    <w:multiLevelType w:val="multilevel"/>
    <w:tmpl w:val="FB3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847AE"/>
    <w:multiLevelType w:val="multilevel"/>
    <w:tmpl w:val="59F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843D5"/>
    <w:multiLevelType w:val="multilevel"/>
    <w:tmpl w:val="210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7459C"/>
    <w:multiLevelType w:val="multilevel"/>
    <w:tmpl w:val="753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854A8"/>
    <w:multiLevelType w:val="multilevel"/>
    <w:tmpl w:val="E2D23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732851">
    <w:abstractNumId w:val="7"/>
  </w:num>
  <w:num w:numId="2" w16cid:durableId="477108723">
    <w:abstractNumId w:val="9"/>
  </w:num>
  <w:num w:numId="3" w16cid:durableId="338124988">
    <w:abstractNumId w:val="4"/>
  </w:num>
  <w:num w:numId="4" w16cid:durableId="1415784553">
    <w:abstractNumId w:val="8"/>
  </w:num>
  <w:num w:numId="5" w16cid:durableId="1327052928">
    <w:abstractNumId w:val="0"/>
  </w:num>
  <w:num w:numId="6" w16cid:durableId="33122950">
    <w:abstractNumId w:val="2"/>
  </w:num>
  <w:num w:numId="7" w16cid:durableId="1119682969">
    <w:abstractNumId w:val="12"/>
  </w:num>
  <w:num w:numId="8" w16cid:durableId="490029402">
    <w:abstractNumId w:val="5"/>
  </w:num>
  <w:num w:numId="9" w16cid:durableId="720859749">
    <w:abstractNumId w:val="6"/>
  </w:num>
  <w:num w:numId="10" w16cid:durableId="1837115160">
    <w:abstractNumId w:val="10"/>
  </w:num>
  <w:num w:numId="11" w16cid:durableId="1241451754">
    <w:abstractNumId w:val="3"/>
  </w:num>
  <w:num w:numId="12" w16cid:durableId="1684016077">
    <w:abstractNumId w:val="11"/>
  </w:num>
  <w:num w:numId="13" w16cid:durableId="1519999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2A"/>
    <w:rsid w:val="000A57BB"/>
    <w:rsid w:val="00104C9F"/>
    <w:rsid w:val="00147981"/>
    <w:rsid w:val="00157C0A"/>
    <w:rsid w:val="00160100"/>
    <w:rsid w:val="001872FD"/>
    <w:rsid w:val="001944F4"/>
    <w:rsid w:val="001A7B93"/>
    <w:rsid w:val="001D53AC"/>
    <w:rsid w:val="00214C5C"/>
    <w:rsid w:val="00215804"/>
    <w:rsid w:val="0022644B"/>
    <w:rsid w:val="00233457"/>
    <w:rsid w:val="00277600"/>
    <w:rsid w:val="0029195D"/>
    <w:rsid w:val="002924F1"/>
    <w:rsid w:val="00296EC9"/>
    <w:rsid w:val="002C1C64"/>
    <w:rsid w:val="003074EE"/>
    <w:rsid w:val="003523BB"/>
    <w:rsid w:val="003A0CC6"/>
    <w:rsid w:val="003C5D23"/>
    <w:rsid w:val="003F0C57"/>
    <w:rsid w:val="00404D82"/>
    <w:rsid w:val="004269D5"/>
    <w:rsid w:val="00495686"/>
    <w:rsid w:val="004D761B"/>
    <w:rsid w:val="005454B8"/>
    <w:rsid w:val="0057664D"/>
    <w:rsid w:val="00590455"/>
    <w:rsid w:val="005A2E71"/>
    <w:rsid w:val="00635CC5"/>
    <w:rsid w:val="00653F1A"/>
    <w:rsid w:val="006A4B2E"/>
    <w:rsid w:val="006B3248"/>
    <w:rsid w:val="006F0CB5"/>
    <w:rsid w:val="00734F41"/>
    <w:rsid w:val="007E3481"/>
    <w:rsid w:val="008628D5"/>
    <w:rsid w:val="00865288"/>
    <w:rsid w:val="008A17E1"/>
    <w:rsid w:val="008A1DBE"/>
    <w:rsid w:val="008C5161"/>
    <w:rsid w:val="00963BC7"/>
    <w:rsid w:val="009649E9"/>
    <w:rsid w:val="009A1BF7"/>
    <w:rsid w:val="009B2B11"/>
    <w:rsid w:val="009C7BBE"/>
    <w:rsid w:val="00A02945"/>
    <w:rsid w:val="00A25720"/>
    <w:rsid w:val="00A259A1"/>
    <w:rsid w:val="00A7324B"/>
    <w:rsid w:val="00AB0D52"/>
    <w:rsid w:val="00B03B98"/>
    <w:rsid w:val="00B269A1"/>
    <w:rsid w:val="00B526EB"/>
    <w:rsid w:val="00B90323"/>
    <w:rsid w:val="00C14CD8"/>
    <w:rsid w:val="00C40B1E"/>
    <w:rsid w:val="00C83182"/>
    <w:rsid w:val="00CB19A1"/>
    <w:rsid w:val="00CE6521"/>
    <w:rsid w:val="00CF7A77"/>
    <w:rsid w:val="00D2047D"/>
    <w:rsid w:val="00E530DE"/>
    <w:rsid w:val="00E91AD1"/>
    <w:rsid w:val="00EE32A5"/>
    <w:rsid w:val="00F1452A"/>
    <w:rsid w:val="00F1761B"/>
    <w:rsid w:val="00F7721C"/>
    <w:rsid w:val="00F93223"/>
    <w:rsid w:val="00FA1762"/>
    <w:rsid w:val="00FC47BB"/>
    <w:rsid w:val="00FD0D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1EF3C"/>
  <w15:chartTrackingRefBased/>
  <w15:docId w15:val="{1017DCF1-3D92-4757-A805-AD7710E1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5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2A"/>
    <w:rPr>
      <w:rFonts w:eastAsiaTheme="majorEastAsia" w:cstheme="majorBidi"/>
      <w:color w:val="272727" w:themeColor="text1" w:themeTint="D8"/>
    </w:rPr>
  </w:style>
  <w:style w:type="paragraph" w:styleId="Title">
    <w:name w:val="Title"/>
    <w:basedOn w:val="Normal"/>
    <w:next w:val="Normal"/>
    <w:link w:val="TitleChar"/>
    <w:uiPriority w:val="10"/>
    <w:qFormat/>
    <w:rsid w:val="00F1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2A"/>
    <w:pPr>
      <w:spacing w:before="160"/>
      <w:jc w:val="center"/>
    </w:pPr>
    <w:rPr>
      <w:i/>
      <w:iCs/>
      <w:color w:val="404040" w:themeColor="text1" w:themeTint="BF"/>
    </w:rPr>
  </w:style>
  <w:style w:type="character" w:customStyle="1" w:styleId="QuoteChar">
    <w:name w:val="Quote Char"/>
    <w:basedOn w:val="DefaultParagraphFont"/>
    <w:link w:val="Quote"/>
    <w:uiPriority w:val="29"/>
    <w:rsid w:val="00F1452A"/>
    <w:rPr>
      <w:i/>
      <w:iCs/>
      <w:color w:val="404040" w:themeColor="text1" w:themeTint="BF"/>
    </w:rPr>
  </w:style>
  <w:style w:type="paragraph" w:styleId="ListParagraph">
    <w:name w:val="List Paragraph"/>
    <w:basedOn w:val="Normal"/>
    <w:uiPriority w:val="34"/>
    <w:qFormat/>
    <w:rsid w:val="00F1452A"/>
    <w:pPr>
      <w:ind w:left="720"/>
      <w:contextualSpacing/>
    </w:pPr>
  </w:style>
  <w:style w:type="character" w:styleId="IntenseEmphasis">
    <w:name w:val="Intense Emphasis"/>
    <w:basedOn w:val="DefaultParagraphFont"/>
    <w:uiPriority w:val="21"/>
    <w:qFormat/>
    <w:rsid w:val="00F1452A"/>
    <w:rPr>
      <w:i/>
      <w:iCs/>
      <w:color w:val="2F5496" w:themeColor="accent1" w:themeShade="BF"/>
    </w:rPr>
  </w:style>
  <w:style w:type="paragraph" w:styleId="IntenseQuote">
    <w:name w:val="Intense Quote"/>
    <w:basedOn w:val="Normal"/>
    <w:next w:val="Normal"/>
    <w:link w:val="IntenseQuoteChar"/>
    <w:uiPriority w:val="30"/>
    <w:qFormat/>
    <w:rsid w:val="00F1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52A"/>
    <w:rPr>
      <w:i/>
      <w:iCs/>
      <w:color w:val="2F5496" w:themeColor="accent1" w:themeShade="BF"/>
    </w:rPr>
  </w:style>
  <w:style w:type="character" w:styleId="IntenseReference">
    <w:name w:val="Intense Reference"/>
    <w:basedOn w:val="DefaultParagraphFont"/>
    <w:uiPriority w:val="32"/>
    <w:qFormat/>
    <w:rsid w:val="00F1452A"/>
    <w:rPr>
      <w:b/>
      <w:bCs/>
      <w:smallCaps/>
      <w:color w:val="2F5496" w:themeColor="accent1" w:themeShade="BF"/>
      <w:spacing w:val="5"/>
    </w:rPr>
  </w:style>
  <w:style w:type="paragraph" w:styleId="Header">
    <w:name w:val="header"/>
    <w:basedOn w:val="Normal"/>
    <w:link w:val="HeaderChar"/>
    <w:uiPriority w:val="99"/>
    <w:unhideWhenUsed/>
    <w:rsid w:val="007E3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481"/>
  </w:style>
  <w:style w:type="paragraph" w:styleId="Footer">
    <w:name w:val="footer"/>
    <w:basedOn w:val="Normal"/>
    <w:link w:val="FooterChar"/>
    <w:uiPriority w:val="99"/>
    <w:unhideWhenUsed/>
    <w:rsid w:val="007E3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481"/>
  </w:style>
  <w:style w:type="paragraph" w:styleId="FootnoteText">
    <w:name w:val="footnote text"/>
    <w:basedOn w:val="Normal"/>
    <w:link w:val="FootnoteTextChar"/>
    <w:uiPriority w:val="99"/>
    <w:semiHidden/>
    <w:unhideWhenUsed/>
    <w:rsid w:val="009C7B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7BBE"/>
    <w:rPr>
      <w:sz w:val="20"/>
      <w:szCs w:val="20"/>
    </w:rPr>
  </w:style>
  <w:style w:type="character" w:styleId="FootnoteReference">
    <w:name w:val="footnote reference"/>
    <w:basedOn w:val="DefaultParagraphFont"/>
    <w:uiPriority w:val="99"/>
    <w:semiHidden/>
    <w:unhideWhenUsed/>
    <w:rsid w:val="009C7BBE"/>
    <w:rPr>
      <w:vertAlign w:val="superscript"/>
    </w:rPr>
  </w:style>
  <w:style w:type="paragraph" w:styleId="EndnoteText">
    <w:name w:val="endnote text"/>
    <w:basedOn w:val="Normal"/>
    <w:link w:val="EndnoteTextChar"/>
    <w:uiPriority w:val="99"/>
    <w:semiHidden/>
    <w:unhideWhenUsed/>
    <w:rsid w:val="009C7BB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C7BBE"/>
    <w:rPr>
      <w:sz w:val="20"/>
      <w:szCs w:val="20"/>
    </w:rPr>
  </w:style>
  <w:style w:type="character" w:styleId="EndnoteReference">
    <w:name w:val="endnote reference"/>
    <w:basedOn w:val="DefaultParagraphFont"/>
    <w:uiPriority w:val="99"/>
    <w:semiHidden/>
    <w:unhideWhenUsed/>
    <w:rsid w:val="009C7BBE"/>
    <w:rPr>
      <w:vertAlign w:val="superscript"/>
    </w:rPr>
  </w:style>
  <w:style w:type="character" w:styleId="Hyperlink">
    <w:name w:val="Hyperlink"/>
    <w:basedOn w:val="DefaultParagraphFont"/>
    <w:uiPriority w:val="99"/>
    <w:unhideWhenUsed/>
    <w:rsid w:val="00CF7A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3CFBA-5A20-4717-9C0B-5A73CBD65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6</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c:creator>
  <cp:keywords/>
  <dc:description/>
  <cp:lastModifiedBy>M A</cp:lastModifiedBy>
  <cp:revision>76</cp:revision>
  <cp:lastPrinted>2026-02-15T09:57:00Z</cp:lastPrinted>
  <dcterms:created xsi:type="dcterms:W3CDTF">2026-02-13T11:21:00Z</dcterms:created>
  <dcterms:modified xsi:type="dcterms:W3CDTF">2026-02-16T07:02:00Z</dcterms:modified>
</cp:coreProperties>
</file>