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Family Food Intelligence — Documentation Pack Index</w:t>
      </w:r>
    </w:p>
    <w:p>
      <w:pPr>
        <w:jc w:val="center"/>
      </w:pPr>
      <w:r>
        <w:rPr>
          <w:i/>
          <w:sz w:val="24"/>
        </w:rPr>
        <w:t>Document control and recommended usage</w:t>
      </w:r>
    </w:p>
    <w:p>
      <w:pPr>
        <w:jc w:val="center"/>
      </w:pPr>
      <w:r>
        <w:rPr>
          <w:sz w:val="18"/>
        </w:rPr>
        <w:t>v0.1 | 05 Sep 2026</w:t>
      </w:r>
    </w:p>
    <w:p/>
    <w:p>
      <w:pPr>
        <w:pStyle w:val="Heading1"/>
      </w:pPr>
      <w:r>
        <w:t>Purpose</w:t>
      </w:r>
    </w:p>
    <w:p>
      <w:r>
        <w:t>This pack turns the product thesis into a controlled working set. It separates strategy from requirements, implementation scope, architecture/data, privacy, and validation so that changes in one area do not silently redefine the whole business.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Document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Purpose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Primary owner</w:t>
            </w:r>
          </w:p>
        </w:tc>
      </w:tr>
      <w:tr>
        <w:tc>
          <w:tcPr>
            <w:tcW w:type="dxa" w:w="3360"/>
            <w:vAlign w:val="top"/>
          </w:tcPr>
          <w:p>
            <w:r>
              <w:t>01 Product Strategy &amp; Vision</w:t>
            </w:r>
          </w:p>
        </w:tc>
        <w:tc>
          <w:tcPr>
            <w:tcW w:type="dxa" w:w="3360"/>
            <w:vAlign w:val="top"/>
          </w:tcPr>
          <w:p>
            <w:r>
              <w:t>Long-term thesis, positioning, moat, principles</w:t>
            </w:r>
          </w:p>
        </w:tc>
        <w:tc>
          <w:tcPr>
            <w:tcW w:type="dxa" w:w="3360"/>
            <w:vAlign w:val="top"/>
          </w:tcPr>
          <w:p>
            <w:r>
              <w:t>Founder/Product</w:t>
            </w:r>
          </w:p>
        </w:tc>
      </w:tr>
      <w:tr>
        <w:tc>
          <w:tcPr>
            <w:tcW w:type="dxa" w:w="3360"/>
            <w:vAlign w:val="top"/>
          </w:tcPr>
          <w:p>
            <w:r>
              <w:t>02 BRD</w:t>
            </w:r>
          </w:p>
        </w:tc>
        <w:tc>
          <w:tcPr>
            <w:tcW w:type="dxa" w:w="3360"/>
            <w:vAlign w:val="top"/>
          </w:tcPr>
          <w:p>
            <w:r>
              <w:t>Business requirements, outcomes, stakeholders and commercial assumptions</w:t>
            </w:r>
          </w:p>
        </w:tc>
        <w:tc>
          <w:tcPr>
            <w:tcW w:type="dxa" w:w="3360"/>
            <w:vAlign w:val="top"/>
          </w:tcPr>
          <w:p>
            <w:r>
              <w:t>Founder/Product/Business</w:t>
            </w:r>
          </w:p>
        </w:tc>
      </w:tr>
      <w:tr>
        <w:tc>
          <w:tcPr>
            <w:tcW w:type="dxa" w:w="3360"/>
            <w:vAlign w:val="top"/>
          </w:tcPr>
          <w:p>
            <w:r>
              <w:t>03 PRD MVP</w:t>
            </w:r>
          </w:p>
        </w:tc>
        <w:tc>
          <w:tcPr>
            <w:tcW w:type="dxa" w:w="3360"/>
            <w:vAlign w:val="top"/>
          </w:tcPr>
          <w:p>
            <w:r>
              <w:t>Detailed product requirements and acceptance criteria</w:t>
            </w:r>
          </w:p>
        </w:tc>
        <w:tc>
          <w:tcPr>
            <w:tcW w:type="dxa" w:w="3360"/>
            <w:vAlign w:val="top"/>
          </w:tcPr>
          <w:p>
            <w:r>
              <w:t>Product/Engineering</w:t>
            </w:r>
          </w:p>
        </w:tc>
      </w:tr>
      <w:tr>
        <w:tc>
          <w:tcPr>
            <w:tcW w:type="dxa" w:w="3360"/>
            <w:vAlign w:val="top"/>
          </w:tcPr>
          <w:p>
            <w:r>
              <w:t>04 MVP Scope &amp; Roadmap</w:t>
            </w:r>
          </w:p>
        </w:tc>
        <w:tc>
          <w:tcPr>
            <w:tcW w:type="dxa" w:w="3360"/>
            <w:vAlign w:val="top"/>
          </w:tcPr>
          <w:p>
            <w:r>
              <w:t>Release boundaries and stage gates</w:t>
            </w:r>
          </w:p>
        </w:tc>
        <w:tc>
          <w:tcPr>
            <w:tcW w:type="dxa" w:w="3360"/>
            <w:vAlign w:val="top"/>
          </w:tcPr>
          <w:p>
            <w:r>
              <w:t>Product/Engineering</w:t>
            </w:r>
          </w:p>
        </w:tc>
      </w:tr>
      <w:tr>
        <w:tc>
          <w:tcPr>
            <w:tcW w:type="dxa" w:w="3360"/>
            <w:vAlign w:val="top"/>
          </w:tcPr>
          <w:p>
            <w:r>
              <w:t>05 System/Data/AI Requirements</w:t>
            </w:r>
          </w:p>
        </w:tc>
        <w:tc>
          <w:tcPr>
            <w:tcW w:type="dxa" w:w="3360"/>
            <w:vAlign w:val="top"/>
          </w:tcPr>
          <w:p>
            <w:r>
              <w:t>Architecture, domain model, data provenance, AI controls</w:t>
            </w:r>
          </w:p>
        </w:tc>
        <w:tc>
          <w:tcPr>
            <w:tcW w:type="dxa" w:w="3360"/>
            <w:vAlign w:val="top"/>
          </w:tcPr>
          <w:p>
            <w:r>
              <w:t>Engineering/Data/AI</w:t>
            </w:r>
          </w:p>
        </w:tc>
      </w:tr>
      <w:tr>
        <w:tc>
          <w:tcPr>
            <w:tcW w:type="dxa" w:w="3360"/>
            <w:vAlign w:val="top"/>
          </w:tcPr>
          <w:p>
            <w:r>
              <w:t>06 Privacy/Child Consent</w:t>
            </w:r>
          </w:p>
        </w:tc>
        <w:tc>
          <w:tcPr>
            <w:tcW w:type="dxa" w:w="3360"/>
            <w:vAlign w:val="top"/>
          </w:tcPr>
          <w:p>
            <w:r>
              <w:t>DPDP/product safeguards and responsible health scope</w:t>
            </w:r>
          </w:p>
        </w:tc>
        <w:tc>
          <w:tcPr>
            <w:tcW w:type="dxa" w:w="3360"/>
            <w:vAlign w:val="top"/>
          </w:tcPr>
          <w:p>
            <w:r>
              <w:t>Privacy/Legal/Product</w:t>
            </w:r>
          </w:p>
        </w:tc>
      </w:tr>
      <w:tr>
        <w:tc>
          <w:tcPr>
            <w:tcW w:type="dxa" w:w="3360"/>
            <w:vAlign w:val="top"/>
          </w:tcPr>
          <w:p>
            <w:r>
              <w:t>07 Validation/Metrics/GTM</w:t>
            </w:r>
          </w:p>
        </w:tc>
        <w:tc>
          <w:tcPr>
            <w:tcW w:type="dxa" w:w="3360"/>
            <w:vAlign w:val="top"/>
          </w:tcPr>
          <w:p>
            <w:r>
              <w:t>Experiments, metrics, payer validation and launch approach</w:t>
            </w:r>
          </w:p>
        </w:tc>
        <w:tc>
          <w:tcPr>
            <w:tcW w:type="dxa" w:w="3360"/>
            <w:vAlign w:val="top"/>
          </w:tcPr>
          <w:p>
            <w:r>
              <w:t>Founder/Product/Growth</w:t>
            </w:r>
          </w:p>
        </w:tc>
      </w:tr>
    </w:tbl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 working name</w:t>
            </w:r>
          </w:p>
        </w:tc>
        <w:tc>
          <w:tcPr>
            <w:tcW w:type="dxa" w:w="5040"/>
            <w:vAlign w:val="top"/>
          </w:tcPr>
          <w:p>
            <w:r>
              <w:t>Family Food Intelligence</w:t>
            </w:r>
          </w:p>
        </w:tc>
      </w:tr>
      <w:tr>
        <w:tc>
          <w:tcPr>
            <w:tcW w:type="dxa" w:w="5040"/>
            <w:vAlign w:val="top"/>
          </w:tcPr>
          <w:p>
            <w:r>
              <w:t>Version</w:t>
            </w:r>
          </w:p>
        </w:tc>
        <w:tc>
          <w:tcPr>
            <w:tcW w:type="dxa" w:w="5040"/>
            <w:vAlign w:val="top"/>
          </w:tcPr>
          <w:p>
            <w:r>
              <w:t>v0.1</w:t>
            </w:r>
          </w:p>
        </w:tc>
      </w:tr>
      <w:tr>
        <w:tc>
          <w:tcPr>
            <w:tcW w:type="dxa" w:w="5040"/>
            <w:vAlign w:val="top"/>
          </w:tcPr>
          <w:p>
            <w:r>
              <w:t>Date</w:t>
            </w:r>
          </w:p>
        </w:tc>
        <w:tc>
          <w:tcPr>
            <w:tcW w:type="dxa" w:w="5040"/>
            <w:vAlign w:val="top"/>
          </w:tcPr>
          <w:p>
            <w:r>
              <w:t>05 Sep 2026</w:t>
            </w:r>
          </w:p>
        </w:tc>
      </w:tr>
      <w:tr>
        <w:tc>
          <w:tcPr>
            <w:tcW w:type="dxa" w:w="5040"/>
            <w:vAlign w:val="top"/>
          </w:tcPr>
          <w:p>
            <w:r>
              <w:t>Geography</w:t>
            </w:r>
          </w:p>
        </w:tc>
        <w:tc>
          <w:tcPr>
            <w:tcW w:type="dxa" w:w="5040"/>
            <w:vAlign w:val="top"/>
          </w:tcPr>
          <w:p>
            <w:r>
              <w:t>India-first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</w:t>
            </w:r>
          </w:p>
        </w:tc>
        <w:tc>
          <w:tcPr>
            <w:tcW w:type="dxa" w:w="5040"/>
            <w:vAlign w:val="top"/>
          </w:tcPr>
          <w:p>
            <w:r>
              <w:t>Households; initial adult/guardian cohorts</w:t>
            </w:r>
          </w:p>
        </w:tc>
      </w:tr>
      <w:tr>
        <w:tc>
          <w:tcPr>
            <w:tcW w:type="dxa" w:w="5040"/>
            <w:vAlign w:val="top"/>
          </w:tcPr>
          <w:p>
            <w:r>
              <w:t>MVP wedge</w:t>
            </w:r>
          </w:p>
        </w:tc>
        <w:tc>
          <w:tcPr>
            <w:tcW w:type="dxa" w:w="5040"/>
            <w:vAlign w:val="top"/>
          </w:tcPr>
          <w:p>
            <w:r>
              <w:t>Packaged-food decision intelligence</w:t>
            </w:r>
          </w:p>
        </w:tc>
      </w:tr>
      <w:tr>
        <w:tc>
          <w:tcPr>
            <w:tcW w:type="dxa" w:w="5040"/>
            <w:vAlign w:val="top"/>
          </w:tcPr>
          <w:p>
            <w:r>
              <w:t>Long-term</w:t>
            </w:r>
          </w:p>
        </w:tc>
        <w:tc>
          <w:tcPr>
            <w:tcW w:type="dxa" w:w="5040"/>
            <w:vAlign w:val="top"/>
          </w:tcPr>
          <w:p>
            <w:r>
              <w:t>Household food intelligence + B2B2C/commerce integration</w:t>
            </w:r>
          </w:p>
        </w:tc>
      </w:tr>
    </w:tbl>
    <w:p>
      <w:pPr>
        <w:pStyle w:val="Heading1"/>
      </w:pPr>
      <w:r>
        <w:t>Required future documents</w:t>
      </w:r>
    </w:p>
    <w:p>
      <w:pPr>
        <w:pStyle w:val="ListBullet"/>
      </w:pPr>
      <w:r>
        <w:t>Data Processing Register / Records of Processing Activities (privacy counsel-led).</w:t>
      </w:r>
    </w:p>
    <w:p>
      <w:pPr>
        <w:pStyle w:val="ListBullet"/>
      </w:pPr>
      <w:r>
        <w:t>Detailed API contract / OpenAPI specification.</w:t>
      </w:r>
    </w:p>
    <w:p>
      <w:pPr>
        <w:pStyle w:val="ListBullet"/>
      </w:pPr>
      <w:r>
        <w:t>UX wireframes and interaction specification.</w:t>
      </w:r>
    </w:p>
    <w:p>
      <w:pPr>
        <w:pStyle w:val="ListBullet"/>
      </w:pPr>
      <w:r>
        <w:t>Design system / accessibility checklist.</w:t>
      </w:r>
    </w:p>
    <w:p>
      <w:pPr>
        <w:pStyle w:val="ListBullet"/>
      </w:pPr>
      <w:r>
        <w:t>Scoring methodology paper + evidence matrix.</w:t>
      </w:r>
    </w:p>
    <w:p>
      <w:pPr>
        <w:pStyle w:val="ListBullet"/>
      </w:pPr>
      <w:r>
        <w:t>Product data operations SOP and freshness SLA.</w:t>
      </w:r>
    </w:p>
    <w:p>
      <w:pPr>
        <w:pStyle w:val="ListBullet"/>
      </w:pPr>
      <w:r>
        <w:t>Threat model and security architecture review.</w:t>
      </w:r>
    </w:p>
    <w:p>
      <w:pPr>
        <w:pStyle w:val="ListBullet"/>
      </w:pPr>
      <w:r>
        <w:t>Consent UX specification and audit-log schema.</w:t>
      </w:r>
    </w:p>
    <w:p>
      <w:pPr>
        <w:pStyle w:val="ListBullet"/>
      </w:pPr>
      <w:r>
        <w:t>B2B2C partner integration specification.</w:t>
      </w:r>
    </w:p>
    <w:p>
      <w:pPr>
        <w:pStyle w:val="ListBullet"/>
      </w:pPr>
      <w:r>
        <w:t>Analytics event taxonomy and experiment plan.</w:t>
      </w:r>
    </w:p>
    <w:p>
      <w:pPr>
        <w:pStyle w:val="ListBullet"/>
      </w:pPr>
      <w:r>
        <w:t>Incident response and data breach runbook.</w:t>
      </w:r>
    </w:p>
    <w:p>
      <w:pPr>
        <w:pStyle w:val="ListBullet"/>
      </w:pPr>
      <w:r>
        <w:t>Terms of Service, Privacy Notice and user-facing disclaimers (legal counsel).</w:t>
      </w:r>
    </w:p>
    <w:p>
      <w:pPr>
        <w:pStyle w:val="Heading1"/>
      </w:pPr>
      <w:r>
        <w:t>Decision log — current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Decision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Current position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Why</w:t>
            </w:r>
          </w:p>
        </w:tc>
      </w:tr>
      <w:tr>
        <w:tc>
          <w:tcPr>
            <w:tcW w:type="dxa" w:w="3360"/>
            <w:vAlign w:val="top"/>
          </w:tcPr>
          <w:p>
            <w:r>
              <w:t>Primary interaction</w:t>
            </w:r>
          </w:p>
        </w:tc>
        <w:tc>
          <w:tcPr>
            <w:tcW w:type="dxa" w:w="3360"/>
            <w:vAlign w:val="top"/>
          </w:tcPr>
          <w:p>
            <w:r>
              <w:t>Search/cart first; camera/OCR complementary</w:t>
            </w:r>
          </w:p>
        </w:tc>
        <w:tc>
          <w:tcPr>
            <w:tcW w:type="dxa" w:w="3360"/>
            <w:vAlign w:val="top"/>
          </w:tcPr>
          <w:p>
            <w:r>
              <w:t>India shopping includes heavy digital/quick-commerce use; offline scan still useful</w:t>
            </w:r>
          </w:p>
        </w:tc>
      </w:tr>
      <w:tr>
        <w:tc>
          <w:tcPr>
            <w:tcW w:type="dxa" w:w="3360"/>
            <w:vAlign w:val="top"/>
          </w:tcPr>
          <w:p>
            <w:r>
              <w:t>Family profiles</w:t>
            </w:r>
          </w:p>
        </w:tc>
        <w:tc>
          <w:tcPr>
            <w:tcW w:type="dxa" w:w="3360"/>
            <w:vAlign w:val="top"/>
          </w:tcPr>
          <w:p>
            <w:r>
              <w:t>Keep, including parent-controlled child profile</w:t>
            </w:r>
          </w:p>
        </w:tc>
        <w:tc>
          <w:tcPr>
            <w:tcW w:type="dxa" w:w="3360"/>
            <w:vAlign w:val="top"/>
          </w:tcPr>
          <w:p>
            <w:r>
              <w:t>Core family value, but child data must be tightly governed</w:t>
            </w:r>
          </w:p>
        </w:tc>
      </w:tr>
      <w:tr>
        <w:tc>
          <w:tcPr>
            <w:tcW w:type="dxa" w:w="3360"/>
            <w:vAlign w:val="top"/>
          </w:tcPr>
          <w:p>
            <w:r>
              <w:t>Meal logging</w:t>
            </w:r>
          </w:p>
        </w:tc>
        <w:tc>
          <w:tcPr>
            <w:tcW w:type="dxa" w:w="3360"/>
            <w:vAlign w:val="top"/>
          </w:tcPr>
          <w:p>
            <w:r>
              <w:t>Optional and low-friction; not MVP core</w:t>
            </w:r>
          </w:p>
        </w:tc>
        <w:tc>
          <w:tcPr>
            <w:tcW w:type="dxa" w:w="3360"/>
            <w:vAlign w:val="top"/>
          </w:tcPr>
          <w:p>
            <w:r>
              <w:t>Retention risk from manual tracking</w:t>
            </w:r>
          </w:p>
        </w:tc>
      </w:tr>
      <w:tr>
        <w:tc>
          <w:tcPr>
            <w:tcW w:type="dxa" w:w="3360"/>
            <w:vAlign w:val="top"/>
          </w:tcPr>
          <w:p>
            <w:r>
              <w:t>Scoring</w:t>
            </w:r>
          </w:p>
        </w:tc>
        <w:tc>
          <w:tcPr>
            <w:tcW w:type="dxa" w:w="3360"/>
            <w:vAlign w:val="top"/>
          </w:tcPr>
          <w:p>
            <w:r>
              <w:t>Transparent and versioned</w:t>
            </w:r>
          </w:p>
        </w:tc>
        <w:tc>
          <w:tcPr>
            <w:tcW w:type="dxa" w:w="3360"/>
            <w:vAlign w:val="top"/>
          </w:tcPr>
          <w:p>
            <w:r>
              <w:t>Trust + regulatory resilience</w:t>
            </w:r>
          </w:p>
        </w:tc>
      </w:tr>
      <w:tr>
        <w:tc>
          <w:tcPr>
            <w:tcW w:type="dxa" w:w="3360"/>
            <w:vAlign w:val="top"/>
          </w:tcPr>
          <w:p>
            <w:r>
              <w:t>B2B2C</w:t>
            </w:r>
          </w:p>
        </w:tc>
        <w:tc>
          <w:tcPr>
            <w:tcW w:type="dxa" w:w="3360"/>
            <w:vAlign w:val="top"/>
          </w:tcPr>
          <w:p>
            <w:r>
              <w:t>Validate early, not after consumer build</w:t>
            </w:r>
          </w:p>
        </w:tc>
        <w:tc>
          <w:tcPr>
            <w:tcW w:type="dxa" w:w="3360"/>
            <w:vAlign w:val="top"/>
          </w:tcPr>
          <w:p>
            <w:r>
              <w:t>Economics may determine viability</w:t>
            </w:r>
          </w:p>
        </w:tc>
      </w:tr>
      <w:tr>
        <w:tc>
          <w:tcPr>
            <w:tcW w:type="dxa" w:w="3360"/>
            <w:vAlign w:val="top"/>
          </w:tcPr>
          <w:p>
            <w:r>
              <w:t>Health claims</w:t>
            </w:r>
          </w:p>
        </w:tc>
        <w:tc>
          <w:tcPr>
            <w:tcW w:type="dxa" w:w="3360"/>
            <w:vAlign w:val="top"/>
          </w:tcPr>
          <w:p>
            <w:r>
              <w:t>Educational/decision support</w:t>
            </w:r>
          </w:p>
        </w:tc>
        <w:tc>
          <w:tcPr>
            <w:tcW w:type="dxa" w:w="3360"/>
            <w:vAlign w:val="top"/>
          </w:tcPr>
          <w:p>
            <w:r>
              <w:t>Avoid accidental medical advice</w:t>
            </w:r>
          </w:p>
        </w:tc>
      </w:tr>
    </w:tbl>
    <w:p>
      <w:pPr>
        <w:pStyle w:val="Heading1"/>
      </w:pPr>
      <w:r>
        <w:t>Research sources</w:t>
      </w:r>
    </w:p>
    <w:p>
      <w:r>
        <w:t>The following sources underpin market, regulatory and product assumptions. Claims should be re-checked at release because regulations, competitor features and product data can change.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 xml:space="preserve">National prevalence of diabetes, prediabetes, hypertension, obesity and dyslipidaemia in India.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S2 — MoSPI Household Consumption Expenditure Survey 2023-24. </w:t>
      </w:r>
      <w:r>
        <w:t xml:space="preserve">Official household consumption/expenditure survey and household-level consumption context. </w:t>
      </w:r>
      <w:hyperlink r:id="rId10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S3 — FSSAI / Supreme Court order, 10 Feb 2026. </w:t>
      </w:r>
      <w:r>
        <w:t xml:space="preserve">Indian Nutrition Rating and front-of-pack nutrition labelling context.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S4 — MeitY Digital Personal Data Protection Act 2023. </w:t>
      </w:r>
      <w:r>
        <w:t xml:space="preserve">Child personal data, verifiable parental consent, restrictions on tracking/behavioural monitoring. </w:t>
      </w:r>
      <w:hyperlink r:id="rId12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S5 — MeitY Digital Personal Data Protection Rules 2025. </w:t>
      </w:r>
      <w:r>
        <w:t xml:space="preserve">Current DPDP Rules and implementation context, including verifiable consent mechanisms.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S6 — JMIR 2024 scoping review of health-app discontinuation. </w:t>
      </w:r>
      <w:r>
        <w:t xml:space="preserve">Evidence on health/diet app abandonment and sustained tracking challenges.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S7 — Yuka – press / social impact. </w:t>
      </w:r>
      <w:r>
        <w:t xml:space="preserve">Scale, product model, independence/trust positioning. </w:t>
      </w:r>
      <w:hyperlink r:id="rId15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S8 — Open Food Facts – India milestone. </w:t>
      </w:r>
      <w:r>
        <w:t xml:space="preserve">Illustrates current crowd-sourced Indian packaged-food database scale. </w:t>
      </w:r>
      <w:hyperlink r:id="rId16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S9 — HealthifyMe. </w:t>
      </w:r>
      <w:r>
        <w:t xml:space="preserve">Indian food/AI tracking and consumer-health positioning. </w:t>
      </w:r>
      <w:hyperlink r:id="rId17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S10 — GS1 India Smart Consumer. </w:t>
      </w:r>
      <w:r>
        <w:t xml:space="preserve">Product/consumer information infrastructure in India. </w:t>
      </w:r>
      <w:hyperlink r:id="rId18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S11 — WHO India / ICRIER – Growth of Ultra-Processed Foods in India (2023). </w:t>
      </w:r>
      <w:r>
        <w:t xml:space="preserve">Growth of India’s UPF retail sector and category context.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 xml:space="preserve">Indian dietary guidance including added-sugar and balanced-diet context. </w:t>
      </w:r>
      <w:hyperlink r:id="rId20">
        <w:r>
          <w:rPr>
            <w:color w:val="0563C1"/>
            <w:u w:val="single"/>
          </w:rPr>
          <w:t>Source</w:t>
        </w:r>
      </w:hyperlink>
    </w:p>
    <w:p>
      <w:pPr>
        <w:pStyle w:val="Heading1"/>
      </w:pPr>
      <w:r>
        <w:t>Additional required working documents now created</w:t>
      </w:r>
    </w:p>
    <w:p>
      <w:pPr>
        <w:pStyle w:val="ListBullet"/>
      </w:pPr>
      <w:r>
        <w:t>08 Scoring Methodology &amp; Evidence Specification</w:t>
      </w:r>
    </w:p>
    <w:p>
      <w:pPr>
        <w:pStyle w:val="ListBullet"/>
      </w:pPr>
      <w:r>
        <w:t>09 Product Data Operations SOP</w:t>
      </w:r>
    </w:p>
    <w:p>
      <w:pPr>
        <w:pStyle w:val="ListBullet"/>
      </w:pPr>
      <w:r>
        <w:t>10 UX / Interaction &amp; Information Architecture Scope</w:t>
      </w:r>
    </w:p>
    <w:p>
      <w:pPr>
        <w:pStyle w:val="ListBullet"/>
      </w:pPr>
      <w:r>
        <w:t>11 Security &amp; Threat Model Scope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S2213-8587(23)00119-5" TargetMode="External"/><Relationship Id="rId10" Type="http://schemas.openxmlformats.org/officeDocument/2006/relationships/hyperlink" Target="https://www.mospi.gov.in/sites/default/files/publication_reports/HCES%20FactSheet%202023-24.pdf" TargetMode="External"/><Relationship Id="rId11" Type="http://schemas.openxmlformats.org/officeDocument/2006/relationships/hyperlink" Target="https://api.sci.gov.in/supremecourt/2025/35988/35988_2025_6_12_68509_Order_10-Feb-2026.pdf" TargetMode="External"/><Relationship Id="rId12" Type="http://schemas.openxmlformats.org/officeDocument/2006/relationships/hyperlink" Target="https://www.meity.gov.in/static/uploads/2024/02/Digital-Personal-Data-Protection-Act-2023.pdf" TargetMode="External"/><Relationship Id="rId13" Type="http://schemas.openxmlformats.org/officeDocument/2006/relationships/hyperlink" Target="https://www.meity.gov.in/documents/act-and-policies/digital-personal-data-protection-rules-2025" TargetMode="External"/><Relationship Id="rId14" Type="http://schemas.openxmlformats.org/officeDocument/2006/relationships/hyperlink" Target="https://www.jmir.org/2024/1/e56897" TargetMode="External"/><Relationship Id="rId15" Type="http://schemas.openxmlformats.org/officeDocument/2006/relationships/hyperlink" Target="https://yuka.io/en/press/" TargetMode="External"/><Relationship Id="rId16" Type="http://schemas.openxmlformats.org/officeDocument/2006/relationships/hyperlink" Target="https://blog.openfoodfacts.org/en/news/open-food-facts-india-database-reaches-10k-product-milestone" TargetMode="External"/><Relationship Id="rId17" Type="http://schemas.openxmlformats.org/officeDocument/2006/relationships/hyperlink" Target="https://www.healthifyme.com/" TargetMode="External"/><Relationship Id="rId18" Type="http://schemas.openxmlformats.org/officeDocument/2006/relationships/hyperlink" Target="https://www.gs1india.org/services/smart-consumer" TargetMode="External"/><Relationship Id="rId19" Type="http://schemas.openxmlformats.org/officeDocument/2006/relationships/hyperlink" Target="https://www.icrier.org/pdf/UPF_Report_2023.pdf" TargetMode="External"/><Relationship Id="rId20" Type="http://schemas.openxmlformats.org/officeDocument/2006/relationships/hyperlink" Target="https://www.nin.res.in/downloads/DietaryGuidelinesforNINwebsi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