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Family Food Intelligence — Product Strategy &amp; Vision</w:t>
      </w:r>
    </w:p>
    <w:p>
      <w:pPr>
        <w:jc w:val="center"/>
      </w:pPr>
      <w:r>
        <w:rPr>
          <w:i/>
          <w:sz w:val="24"/>
        </w:rPr>
        <w:t>Founder-grade product thesis, positioning, principles and strategic scope</w:t>
      </w:r>
    </w:p>
    <w:p>
      <w:pPr>
        <w:jc w:val="center"/>
      </w:pPr>
      <w:r>
        <w:rPr>
          <w:sz w:val="18"/>
        </w:rPr>
        <w:t>v0.1 | 05 Sep 2026</w:t>
      </w:r>
    </w:p>
    <w:p/>
    <w:p>
      <w:pPr>
        <w:pStyle w:val="Heading1"/>
      </w:pPr>
      <w:r>
        <w:t>Executive thesis</w:t>
      </w:r>
    </w:p>
    <w:p>
      <w:r>
        <w:t>Build a trusted, parent-controlled household food intelligence platform that helps people make better food decisions at purchase time. The long-term product understands products, household preferences, family dietary constraints, purchases and—later—low-friction consumption patterns. The initial wedge is packaged-food decision intelligence, not a generic health tracker.</w:t>
      </w:r>
    </w:p>
    <w:tbl>
      <w:tblPr>
        <w:tblW w:type="auto" w:w="0"/>
        <w:jc w:val="center"/>
        <w:tblLook w:firstColumn="1" w:firstRow="1" w:lastColumn="0" w:lastRow="0" w:noHBand="0" w:noVBand="1" w:val="04A0"/>
      </w:tblPr>
      <w:tblGrid>
        <w:gridCol w:w="10080"/>
      </w:tblGrid>
      <w:tr>
        <w:tc>
          <w:tcPr>
            <w:tcW w:type="dxa" w:w="10080"/>
            <w:shd w:fill="EAF4E5"/>
          </w:tcPr>
          <w:p>
            <w:r>
              <w:rPr>
                <w:b/>
              </w:rPr>
              <w:t xml:space="preserve">North-star promise: </w:t>
            </w:r>
            <w:r>
              <w:t>“Help my family choose better food, without making us become nutrition experts.”</w:t>
            </w:r>
          </w:p>
        </w:tc>
      </w:tr>
    </w:tbl>
    <w:p>
      <w:pPr>
        <w:pStyle w:val="Heading1"/>
      </w:pPr>
      <w:r>
        <w:t>What this is — and is not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This product is</w:t>
            </w:r>
          </w:p>
        </w:tc>
        <w:tc>
          <w:tcPr>
            <w:tcW w:type="dxa" w:w="5040"/>
            <w:shd w:fill="D9EAF7"/>
            <w:vAlign w:val="center"/>
          </w:tcPr>
          <w:p>
            <w:r>
              <w:t>This product is not</w:t>
            </w:r>
          </w:p>
        </w:tc>
      </w:tr>
      <w:tr>
        <w:tc>
          <w:tcPr>
            <w:tcW w:type="dxa" w:w="5040"/>
            <w:vAlign w:val="top"/>
          </w:tcPr>
          <w:p>
            <w:r>
              <w:t>A food decision engine</w:t>
            </w:r>
          </w:p>
        </w:tc>
        <w:tc>
          <w:tcPr>
            <w:tcW w:type="dxa" w:w="5040"/>
            <w:vAlign w:val="top"/>
          </w:tcPr>
          <w:p>
            <w:r>
              <w:t>A generic calorie counter</w:t>
            </w:r>
          </w:p>
        </w:tc>
      </w:tr>
      <w:tr>
        <w:tc>
          <w:tcPr>
            <w:tcW w:type="dxa" w:w="5040"/>
            <w:vAlign w:val="top"/>
          </w:tcPr>
          <w:p>
            <w:r>
              <w:t>A family-controlled experience</w:t>
            </w:r>
          </w:p>
        </w:tc>
        <w:tc>
          <w:tcPr>
            <w:tcW w:type="dxa" w:w="5040"/>
            <w:vAlign w:val="top"/>
          </w:tcPr>
          <w:p>
            <w:r>
              <w:t>A child social/engagement app</w:t>
            </w:r>
          </w:p>
        </w:tc>
      </w:tr>
      <w:tr>
        <w:tc>
          <w:tcPr>
            <w:tcW w:type="dxa" w:w="5040"/>
            <w:vAlign w:val="top"/>
          </w:tcPr>
          <w:p>
            <w:r>
              <w:t>A transparent interpretation layer</w:t>
            </w:r>
          </w:p>
        </w:tc>
        <w:tc>
          <w:tcPr>
            <w:tcW w:type="dxa" w:w="5040"/>
            <w:vAlign w:val="top"/>
          </w:tcPr>
          <w:p>
            <w:r>
              <w:t>A replacement for FSSAI labelling</w:t>
            </w:r>
          </w:p>
        </w:tc>
      </w:tr>
      <w:tr>
        <w:tc>
          <w:tcPr>
            <w:tcW w:type="dxa" w:w="5040"/>
            <w:vAlign w:val="top"/>
          </w:tcPr>
          <w:p>
            <w:r>
              <w:t>A trusted recommendation service</w:t>
            </w:r>
          </w:p>
        </w:tc>
        <w:tc>
          <w:tcPr>
            <w:tcW w:type="dxa" w:w="5040"/>
            <w:vAlign w:val="top"/>
          </w:tcPr>
          <w:p>
            <w:r>
              <w:t>A sponsored ranking marketplace</w:t>
            </w:r>
          </w:p>
        </w:tc>
      </w:tr>
      <w:tr>
        <w:tc>
          <w:tcPr>
            <w:tcW w:type="dxa" w:w="5040"/>
            <w:vAlign w:val="top"/>
          </w:tcPr>
          <w:p>
            <w:r>
              <w:t>A long-term household intelligence platform</w:t>
            </w:r>
          </w:p>
        </w:tc>
        <w:tc>
          <w:tcPr>
            <w:tcW w:type="dxa" w:w="5040"/>
            <w:vAlign w:val="top"/>
          </w:tcPr>
          <w:p>
            <w:r>
              <w:t>A diagnostic or treatment system</w:t>
            </w:r>
          </w:p>
        </w:tc>
      </w:tr>
    </w:tbl>
    <w:p>
      <w:pPr>
        <w:pStyle w:val="Heading1"/>
      </w:pPr>
      <w:r>
        <w:t>Strategic opportunity</w:t>
      </w:r>
    </w:p>
    <w:p>
      <w:r>
        <w:t>The consumer problem is not simply that labels are invisible. Labels exist, but people need help translating nutrition facts and ingredients into an actionable decision. Research also shows that health-app retention and manual diet logging are weak; therefore the product should create value around high-intent purchase decisions and minimize data entry. See S6.</w:t>
      </w:r>
    </w:p>
    <w:p>
      <w:pPr>
        <w:pStyle w:val="Heading1"/>
      </w:pPr>
      <w:r>
        <w:t>Three product layers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Layer</w:t>
            </w:r>
          </w:p>
        </w:tc>
        <w:tc>
          <w:tcPr>
            <w:tcW w:type="dxa" w:w="3360"/>
            <w:shd w:fill="D9EAF7"/>
            <w:vAlign w:val="center"/>
          </w:tcPr>
          <w:p>
            <w:r>
              <w:t>User question</w:t>
            </w:r>
          </w:p>
        </w:tc>
        <w:tc>
          <w:tcPr>
            <w:tcW w:type="dxa" w:w="3360"/>
            <w:shd w:fill="D9EAF7"/>
            <w:vAlign w:val="center"/>
          </w:tcPr>
          <w:p>
            <w:r>
              <w:t>MVP status</w:t>
            </w:r>
          </w:p>
        </w:tc>
      </w:tr>
      <w:tr>
        <w:tc>
          <w:tcPr>
            <w:tcW w:type="dxa" w:w="3360"/>
            <w:vAlign w:val="top"/>
          </w:tcPr>
          <w:p>
            <w:r>
              <w:t>Product intelligence</w:t>
            </w:r>
          </w:p>
        </w:tc>
        <w:tc>
          <w:tcPr>
            <w:tcW w:type="dxa" w:w="3360"/>
            <w:vAlign w:val="top"/>
          </w:tcPr>
          <w:p>
            <w:r>
              <w:t>What is inside this product?</w:t>
            </w:r>
          </w:p>
        </w:tc>
        <w:tc>
          <w:tcPr>
            <w:tcW w:type="dxa" w:w="3360"/>
            <w:vAlign w:val="top"/>
          </w:tcPr>
          <w:p>
            <w:r>
              <w:t>MVP</w:t>
            </w:r>
          </w:p>
        </w:tc>
      </w:tr>
      <w:tr>
        <w:tc>
          <w:tcPr>
            <w:tcW w:type="dxa" w:w="3360"/>
            <w:vAlign w:val="top"/>
          </w:tcPr>
          <w:p>
            <w:r>
              <w:t>Personal/family fit</w:t>
            </w:r>
          </w:p>
        </w:tc>
        <w:tc>
          <w:tcPr>
            <w:tcW w:type="dxa" w:w="3360"/>
            <w:vAlign w:val="top"/>
          </w:tcPr>
          <w:p>
            <w:r>
              <w:t>Does it fit this person or household?</w:t>
            </w:r>
          </w:p>
        </w:tc>
        <w:tc>
          <w:tcPr>
            <w:tcW w:type="dxa" w:w="3360"/>
            <w:vAlign w:val="top"/>
          </w:tcPr>
          <w:p>
            <w:r>
              <w:t>MVP</w:t>
            </w:r>
          </w:p>
        </w:tc>
      </w:tr>
      <w:tr>
        <w:tc>
          <w:tcPr>
            <w:tcW w:type="dxa" w:w="3360"/>
            <w:vAlign w:val="top"/>
          </w:tcPr>
          <w:p>
            <w:r>
              <w:t>Purchase intelligence</w:t>
            </w:r>
          </w:p>
        </w:tc>
        <w:tc>
          <w:tcPr>
            <w:tcW w:type="dxa" w:w="3360"/>
            <w:vAlign w:val="top"/>
          </w:tcPr>
          <w:p>
            <w:r>
              <w:t>Should we buy this—or a better alternative?</w:t>
            </w:r>
          </w:p>
        </w:tc>
        <w:tc>
          <w:tcPr>
            <w:tcW w:type="dxa" w:w="3360"/>
            <w:vAlign w:val="top"/>
          </w:tcPr>
          <w:p>
            <w:r>
              <w:t>MVP/core</w:t>
            </w:r>
          </w:p>
        </w:tc>
      </w:tr>
      <w:tr>
        <w:tc>
          <w:tcPr>
            <w:tcW w:type="dxa" w:w="3360"/>
            <w:vAlign w:val="top"/>
          </w:tcPr>
          <w:p>
            <w:r>
              <w:t>Consumption intelligence</w:t>
            </w:r>
          </w:p>
        </w:tc>
        <w:tc>
          <w:tcPr>
            <w:tcW w:type="dxa" w:w="3360"/>
            <w:vAlign w:val="top"/>
          </w:tcPr>
          <w:p>
            <w:r>
              <w:t>What did we actually eat?</w:t>
            </w:r>
          </w:p>
        </w:tc>
        <w:tc>
          <w:tcPr>
            <w:tcW w:type="dxa" w:w="3360"/>
            <w:vAlign w:val="top"/>
          </w:tcPr>
          <w:p>
            <w:r>
              <w:t>Later, low-friction</w:t>
            </w:r>
          </w:p>
        </w:tc>
      </w:tr>
      <w:tr>
        <w:tc>
          <w:tcPr>
            <w:tcW w:type="dxa" w:w="3360"/>
            <w:vAlign w:val="top"/>
          </w:tcPr>
          <w:p>
            <w:r>
              <w:t>Household intelligence</w:t>
            </w:r>
          </w:p>
        </w:tc>
        <w:tc>
          <w:tcPr>
            <w:tcW w:type="dxa" w:w="3360"/>
            <w:vAlign w:val="top"/>
          </w:tcPr>
          <w:p>
            <w:r>
              <w:t>What patterns should we change?</w:t>
            </w:r>
          </w:p>
        </w:tc>
        <w:tc>
          <w:tcPr>
            <w:tcW w:type="dxa" w:w="3360"/>
            <w:vAlign w:val="top"/>
          </w:tcPr>
          <w:p>
            <w:r>
              <w:t>Later</w:t>
            </w:r>
          </w:p>
        </w:tc>
      </w:tr>
    </w:tbl>
    <w:p>
      <w:pPr>
        <w:pStyle w:val="Heading1"/>
      </w:pPr>
      <w:r>
        <w:t>Primary personas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Persona</w:t>
            </w:r>
          </w:p>
        </w:tc>
        <w:tc>
          <w:tcPr>
            <w:tcW w:type="dxa" w:w="3360"/>
            <w:shd w:fill="D9EAF7"/>
            <w:vAlign w:val="center"/>
          </w:tcPr>
          <w:p>
            <w:r>
              <w:t>Job to be done</w:t>
            </w:r>
          </w:p>
        </w:tc>
        <w:tc>
          <w:tcPr>
            <w:tcW w:type="dxa" w:w="3360"/>
            <w:shd w:fill="D9EAF7"/>
            <w:vAlign w:val="center"/>
          </w:tcPr>
          <w:p>
            <w:r>
              <w:t>Initial value</w:t>
            </w:r>
          </w:p>
        </w:tc>
      </w:tr>
      <w:tr>
        <w:tc>
          <w:tcPr>
            <w:tcW w:type="dxa" w:w="3360"/>
            <w:vAlign w:val="top"/>
          </w:tcPr>
          <w:p>
            <w:r>
              <w:t>Household food buyer</w:t>
            </w:r>
          </w:p>
        </w:tc>
        <w:tc>
          <w:tcPr>
            <w:tcW w:type="dxa" w:w="3360"/>
            <w:vAlign w:val="top"/>
          </w:tcPr>
          <w:p>
            <w:r>
              <w:t>Choose among competing products quickly</w:t>
            </w:r>
          </w:p>
        </w:tc>
        <w:tc>
          <w:tcPr>
            <w:tcW w:type="dxa" w:w="3360"/>
            <w:vAlign w:val="top"/>
          </w:tcPr>
          <w:p>
            <w:r>
              <w:t>Better purchase decisions</w:t>
            </w:r>
          </w:p>
        </w:tc>
      </w:tr>
      <w:tr>
        <w:tc>
          <w:tcPr>
            <w:tcW w:type="dxa" w:w="3360"/>
            <w:vAlign w:val="top"/>
          </w:tcPr>
          <w:p>
            <w:r>
              <w:t>Parent/guardian</w:t>
            </w:r>
          </w:p>
        </w:tc>
        <w:tc>
          <w:tcPr>
            <w:tcW w:type="dxa" w:w="3360"/>
            <w:vAlign w:val="top"/>
          </w:tcPr>
          <w:p>
            <w:r>
              <w:t>Make suitable choices for family members, including parent-managed child profiles</w:t>
            </w:r>
          </w:p>
        </w:tc>
        <w:tc>
          <w:tcPr>
            <w:tcW w:type="dxa" w:w="3360"/>
            <w:vAlign w:val="top"/>
          </w:tcPr>
          <w:p>
            <w:r>
              <w:t>Age/profile-aware food fit</w:t>
            </w:r>
          </w:p>
        </w:tc>
      </w:tr>
      <w:tr>
        <w:tc>
          <w:tcPr>
            <w:tcW w:type="dxa" w:w="3360"/>
            <w:vAlign w:val="top"/>
          </w:tcPr>
          <w:p>
            <w:r>
              <w:t>Adult with metabolic-health goal</w:t>
            </w:r>
          </w:p>
        </w:tc>
        <w:tc>
          <w:tcPr>
            <w:tcW w:type="dxa" w:w="3360"/>
            <w:vAlign w:val="top"/>
          </w:tcPr>
          <w:p>
            <w:r>
              <w:t>Understand sugar, sodium, saturated fat, etc. in context</w:t>
            </w:r>
          </w:p>
        </w:tc>
        <w:tc>
          <w:tcPr>
            <w:tcW w:type="dxa" w:w="3360"/>
            <w:vAlign w:val="top"/>
          </w:tcPr>
          <w:p>
            <w:r>
              <w:t>Clearer dietary choices</w:t>
            </w:r>
          </w:p>
        </w:tc>
      </w:tr>
      <w:tr>
        <w:tc>
          <w:tcPr>
            <w:tcW w:type="dxa" w:w="3360"/>
            <w:vAlign w:val="top"/>
          </w:tcPr>
          <w:p>
            <w:r>
              <w:t>Health partner / B2B2C payer</w:t>
            </w:r>
          </w:p>
        </w:tc>
        <w:tc>
          <w:tcPr>
            <w:tcW w:type="dxa" w:w="3360"/>
            <w:vAlign w:val="top"/>
          </w:tcPr>
          <w:p>
            <w:r>
              <w:t>Give members a useful food-decision tool</w:t>
            </w:r>
          </w:p>
        </w:tc>
        <w:tc>
          <w:tcPr>
            <w:tcW w:type="dxa" w:w="3360"/>
            <w:vAlign w:val="top"/>
          </w:tcPr>
          <w:p>
            <w:r>
              <w:t>Engagement + behavior-change layer</w:t>
            </w:r>
          </w:p>
        </w:tc>
      </w:tr>
    </w:tbl>
    <w:p>
      <w:pPr>
        <w:pStyle w:val="Heading1"/>
      </w:pPr>
      <w:r>
        <w:t>Positioning</w:t>
      </w:r>
    </w:p>
    <w:p>
      <w:r>
        <w:t>Category: Family Food Intelligence. Primary promise: “Know what your family is buying.” Secondary promise: “Understand what the label means for each person in your household.”</w:t>
      </w:r>
    </w:p>
    <w:p>
      <w:pPr>
        <w:pStyle w:val="Heading1"/>
      </w:pPr>
      <w:r>
        <w:t>Moat hypothesis</w:t>
      </w:r>
    </w:p>
    <w:p>
      <w:r>
        <w:t>Do not rely on AI, barcode scanning, or a raw product database as the moat. Those can become commodities. The durable advantage should be trust, workflow integration, transparent evidence, household context, repeat decision history, recommendation outcomes and distribution. Proprietary behavioral data becomes more valuable only after scale.</w:t>
      </w:r>
    </w:p>
    <w:p>
      <w:pPr>
        <w:pStyle w:val="Heading1"/>
      </w:pPr>
      <w:r>
        <w:t>Strategic principles</w:t>
      </w:r>
    </w:p>
    <w:p>
      <w:pPr>
        <w:pStyle w:val="ListBullet"/>
      </w:pPr>
      <w:r>
        <w:t>Decision before dashboard.</w:t>
      </w:r>
    </w:p>
    <w:p>
      <w:pPr>
        <w:pStyle w:val="ListBullet"/>
      </w:pPr>
      <w:r>
        <w:t>Better choice before perfect diet.</w:t>
      </w:r>
    </w:p>
    <w:p>
      <w:pPr>
        <w:pStyle w:val="ListBullet"/>
      </w:pPr>
      <w:r>
        <w:t>Personalized interpretation, not fear-based labeling.</w:t>
      </w:r>
    </w:p>
    <w:p>
      <w:pPr>
        <w:pStyle w:val="ListBullet"/>
      </w:pPr>
      <w:r>
        <w:t>Deterministic rules decide; AI explains and assists.</w:t>
      </w:r>
    </w:p>
    <w:p>
      <w:pPr>
        <w:pStyle w:val="ListBullet"/>
      </w:pPr>
      <w:r>
        <w:t>Parent-controlled child experience; minimize child data.</w:t>
      </w:r>
    </w:p>
    <w:p>
      <w:pPr>
        <w:pStyle w:val="ListBullet"/>
      </w:pPr>
      <w:r>
        <w:t>No paid influence over nutrition scores or rankings.</w:t>
      </w:r>
    </w:p>
    <w:p>
      <w:pPr>
        <w:pStyle w:val="ListBullet"/>
      </w:pPr>
      <w:r>
        <w:t>Design for search/cart first, with camera/OCR as complementary inputs.</w:t>
      </w:r>
    </w:p>
    <w:p>
      <w:pPr>
        <w:pStyle w:val="ListBullet"/>
      </w:pPr>
      <w:r>
        <w:t>Build for India first: Indian products, foods, terminology and languages.</w:t>
      </w:r>
    </w:p>
    <w:p>
      <w:pPr>
        <w:pStyle w:val="Heading1"/>
      </w:pPr>
      <w:r>
        <w:t>Strategic sequencing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Stage</w:t>
            </w:r>
          </w:p>
        </w:tc>
        <w:tc>
          <w:tcPr>
            <w:tcW w:type="dxa" w:w="3360"/>
            <w:shd w:fill="D9EAF7"/>
            <w:vAlign w:val="center"/>
          </w:tcPr>
          <w:p>
            <w:r>
              <w:t>Product</w:t>
            </w:r>
          </w:p>
        </w:tc>
        <w:tc>
          <w:tcPr>
            <w:tcW w:type="dxa" w:w="3360"/>
            <w:shd w:fill="D9EAF7"/>
            <w:vAlign w:val="center"/>
          </w:tcPr>
          <w:p>
            <w:r>
              <w:t>Primary validation</w:t>
            </w:r>
          </w:p>
        </w:tc>
      </w:tr>
      <w:tr>
        <w:tc>
          <w:tcPr>
            <w:tcW w:type="dxa" w:w="3360"/>
            <w:vAlign w:val="top"/>
          </w:tcPr>
          <w:p>
            <w:r>
              <w:t>0–3 months</w:t>
            </w:r>
          </w:p>
        </w:tc>
        <w:tc>
          <w:tcPr>
            <w:tcW w:type="dxa" w:w="3360"/>
            <w:vAlign w:val="top"/>
          </w:tcPr>
          <w:p>
            <w:r>
              <w:t>Decision engine prototype</w:t>
            </w:r>
          </w:p>
        </w:tc>
        <w:tc>
          <w:tcPr>
            <w:tcW w:type="dxa" w:w="3360"/>
            <w:vAlign w:val="top"/>
          </w:tcPr>
          <w:p>
            <w:r>
              <w:t>Usage + purchase-decision change</w:t>
            </w:r>
          </w:p>
        </w:tc>
      </w:tr>
      <w:tr>
        <w:tc>
          <w:tcPr>
            <w:tcW w:type="dxa" w:w="3360"/>
            <w:vAlign w:val="top"/>
          </w:tcPr>
          <w:p>
            <w:r>
              <w:t>3–9 months</w:t>
            </w:r>
          </w:p>
        </w:tc>
        <w:tc>
          <w:tcPr>
            <w:tcW w:type="dxa" w:w="3360"/>
            <w:vAlign w:val="top"/>
          </w:tcPr>
          <w:p>
            <w:r>
              <w:t>Packaged-food intelligence + family profiles</w:t>
            </w:r>
          </w:p>
        </w:tc>
        <w:tc>
          <w:tcPr>
            <w:tcW w:type="dxa" w:w="3360"/>
            <w:vAlign w:val="top"/>
          </w:tcPr>
          <w:p>
            <w:r>
              <w:t>Retention + recommendation acceptance + payer interest</w:t>
            </w:r>
          </w:p>
        </w:tc>
      </w:tr>
      <w:tr>
        <w:tc>
          <w:tcPr>
            <w:tcW w:type="dxa" w:w="3360"/>
            <w:vAlign w:val="top"/>
          </w:tcPr>
          <w:p>
            <w:r>
              <w:t>9–18 months</w:t>
            </w:r>
          </w:p>
        </w:tc>
        <w:tc>
          <w:tcPr>
            <w:tcW w:type="dxa" w:w="3360"/>
            <w:vAlign w:val="top"/>
          </w:tcPr>
          <w:p>
            <w:r>
              <w:t>Receipt/order capture + low-friction meal intelligence</w:t>
            </w:r>
          </w:p>
        </w:tc>
        <w:tc>
          <w:tcPr>
            <w:tcW w:type="dxa" w:w="3360"/>
            <w:vAlign w:val="top"/>
          </w:tcPr>
          <w:p>
            <w:r>
              <w:t>Household intelligence</w:t>
            </w:r>
          </w:p>
        </w:tc>
      </w:tr>
      <w:tr>
        <w:tc>
          <w:tcPr>
            <w:tcW w:type="dxa" w:w="3360"/>
            <w:vAlign w:val="top"/>
          </w:tcPr>
          <w:p>
            <w:r>
              <w:t>18+ months</w:t>
            </w:r>
          </w:p>
        </w:tc>
        <w:tc>
          <w:tcPr>
            <w:tcW w:type="dxa" w:w="3360"/>
            <w:vAlign w:val="top"/>
          </w:tcPr>
          <w:p>
            <w:r>
              <w:t>B2B2C / commerce integrations / broader foods</w:t>
            </w:r>
          </w:p>
        </w:tc>
        <w:tc>
          <w:tcPr>
            <w:tcW w:type="dxa" w:w="3360"/>
            <w:vAlign w:val="top"/>
          </w:tcPr>
          <w:p>
            <w:r>
              <w:t>Scale + economics</w:t>
            </w:r>
          </w:p>
        </w:tc>
      </w:tr>
    </w:tbl>
    <w:p>
      <w:pPr>
        <w:pStyle w:val="Heading1"/>
      </w:pPr>
      <w:r>
        <w:t>Key risks</w:t>
      </w:r>
    </w:p>
    <w:p>
      <w:pPr>
        <w:pStyle w:val="ListBullet"/>
      </w:pPr>
      <w:r>
        <w:t>Low willingness to pay for generic wellness.</w:t>
      </w:r>
    </w:p>
    <w:p>
      <w:pPr>
        <w:pStyle w:val="ListBullet"/>
      </w:pPr>
      <w:r>
        <w:t>Product data coverage/freshness.</w:t>
      </w:r>
    </w:p>
    <w:p>
      <w:pPr>
        <w:pStyle w:val="ListBullet"/>
      </w:pPr>
      <w:r>
        <w:t>Health/medical overclaiming.</w:t>
      </w:r>
    </w:p>
    <w:p>
      <w:pPr>
        <w:pStyle w:val="ListBullet"/>
      </w:pPr>
      <w:r>
        <w:t>Child-data compliance.</w:t>
      </w:r>
    </w:p>
    <w:p>
      <w:pPr>
        <w:pStyle w:val="ListBullet"/>
      </w:pPr>
      <w:r>
        <w:t>Incumbents such as HealthifyMe and fast-moving scanner apps.</w:t>
      </w:r>
    </w:p>
    <w:p>
      <w:pPr>
        <w:pStyle w:val="ListBullet"/>
      </w:pPr>
      <w:r>
        <w:t>Free multimodal AI commoditizing label explanation.</w:t>
      </w:r>
    </w:p>
    <w:p>
      <w:pPr>
        <w:pStyle w:val="ListBullet"/>
      </w:pPr>
      <w:r>
        <w:t>Commerce platforms owning the transaction layer.</w:t>
      </w:r>
    </w:p>
    <w:p>
      <w:pPr>
        <w:pStyle w:val="Heading1"/>
      </w:pPr>
      <w:r>
        <w:t>Research sources</w:t>
      </w:r>
    </w:p>
    <w:p>
      <w:r>
        <w:t>The following sources underpin market, regulatory and product assumptions. Claims should be re-checked at release because regulations, competitor features and product data can change.</w:t>
      </w:r>
    </w:p>
    <w:p>
      <w:pPr>
        <w:pStyle w:val="ListNumber"/>
      </w:pPr>
      <w:r>
        <w:rPr>
          <w:b/>
        </w:rPr>
        <w:t xml:space="preserve">S1 — ICMR-INDIAB / The Lancet Diabetes &amp; Endocrinology (2023). </w:t>
      </w:r>
      <w:r>
        <w:t xml:space="preserve">National prevalence of diabetes, prediabetes, hypertension, obesity and dyslipidaemia in India. </w:t>
      </w:r>
      <w:hyperlink r:id="rId9">
        <w:r>
          <w:rPr>
            <w:color w:val="0563C1"/>
            <w:u w:val="single"/>
          </w:rPr>
          <w:t>Source</w:t>
        </w:r>
      </w:hyperlink>
    </w:p>
    <w:p>
      <w:pPr>
        <w:pStyle w:val="ListNumber"/>
      </w:pPr>
      <w:r>
        <w:rPr>
          <w:b/>
        </w:rPr>
        <w:t xml:space="preserve">S2 — MoSPI Household Consumption Expenditure Survey 2023-24. </w:t>
      </w:r>
      <w:r>
        <w:t xml:space="preserve">Official household consumption/expenditure survey and household-level consumption context. </w:t>
      </w:r>
      <w:hyperlink r:id="rId10">
        <w:r>
          <w:rPr>
            <w:color w:val="0563C1"/>
            <w:u w:val="single"/>
          </w:rPr>
          <w:t>Source</w:t>
        </w:r>
      </w:hyperlink>
    </w:p>
    <w:p>
      <w:pPr>
        <w:pStyle w:val="ListNumber"/>
      </w:pPr>
      <w:r>
        <w:rPr>
          <w:b/>
        </w:rPr>
        <w:t xml:space="preserve">S3 — FSSAI / Supreme Court order, 10 Feb 2026. </w:t>
      </w:r>
      <w:r>
        <w:t xml:space="preserve">Indian Nutrition Rating and front-of-pack nutrition labelling context. </w:t>
      </w:r>
      <w:hyperlink r:id="rId11">
        <w:r>
          <w:rPr>
            <w:color w:val="0563C1"/>
            <w:u w:val="single"/>
          </w:rPr>
          <w:t>Source</w:t>
        </w:r>
      </w:hyperlink>
    </w:p>
    <w:p>
      <w:pPr>
        <w:pStyle w:val="ListNumber"/>
      </w:pPr>
      <w:r>
        <w:rPr>
          <w:b/>
        </w:rPr>
        <w:t xml:space="preserve">S4 — MeitY Digital Personal Data Protection Act 2023. </w:t>
      </w:r>
      <w:r>
        <w:t xml:space="preserve">Child personal data, verifiable parental consent, restrictions on tracking/behavioural monitoring. </w:t>
      </w:r>
      <w:hyperlink r:id="rId12">
        <w:r>
          <w:rPr>
            <w:color w:val="0563C1"/>
            <w:u w:val="single"/>
          </w:rPr>
          <w:t>Source</w:t>
        </w:r>
      </w:hyperlink>
    </w:p>
    <w:p>
      <w:pPr>
        <w:pStyle w:val="ListNumber"/>
      </w:pPr>
      <w:r>
        <w:rPr>
          <w:b/>
        </w:rPr>
        <w:t xml:space="preserve">S5 — MeitY Digital Personal Data Protection Rules 2025. </w:t>
      </w:r>
      <w:r>
        <w:t xml:space="preserve">Current DPDP Rules and implementation context, including verifiable consent mechanisms. </w:t>
      </w:r>
      <w:hyperlink r:id="rId13">
        <w:r>
          <w:rPr>
            <w:color w:val="0563C1"/>
            <w:u w:val="single"/>
          </w:rPr>
          <w:t>Source</w:t>
        </w:r>
      </w:hyperlink>
    </w:p>
    <w:p>
      <w:pPr>
        <w:pStyle w:val="ListNumber"/>
      </w:pPr>
      <w:r>
        <w:rPr>
          <w:b/>
        </w:rPr>
        <w:t xml:space="preserve">S6 — JMIR 2024 scoping review of health-app discontinuation. </w:t>
      </w:r>
      <w:r>
        <w:t xml:space="preserve">Evidence on health/diet app abandonment and sustained tracking challenges. </w:t>
      </w:r>
      <w:hyperlink r:id="rId14">
        <w:r>
          <w:rPr>
            <w:color w:val="0563C1"/>
            <w:u w:val="single"/>
          </w:rPr>
          <w:t>Source</w:t>
        </w:r>
      </w:hyperlink>
    </w:p>
    <w:p>
      <w:pPr>
        <w:pStyle w:val="ListNumber"/>
      </w:pPr>
      <w:r>
        <w:rPr>
          <w:b/>
        </w:rPr>
        <w:t xml:space="preserve">S7 — Yuka – press / social impact. </w:t>
      </w:r>
      <w:r>
        <w:t xml:space="preserve">Scale, product model, independence/trust positioning. </w:t>
      </w:r>
      <w:hyperlink r:id="rId15">
        <w:r>
          <w:rPr>
            <w:color w:val="0563C1"/>
            <w:u w:val="single"/>
          </w:rPr>
          <w:t>Source</w:t>
        </w:r>
      </w:hyperlink>
    </w:p>
    <w:p>
      <w:pPr>
        <w:pStyle w:val="ListNumber"/>
      </w:pPr>
      <w:r>
        <w:rPr>
          <w:b/>
        </w:rPr>
        <w:t xml:space="preserve">S8 — Open Food Facts – India milestone. </w:t>
      </w:r>
      <w:r>
        <w:t xml:space="preserve">Illustrates current crowd-sourced Indian packaged-food database scale. </w:t>
      </w:r>
      <w:hyperlink r:id="rId16">
        <w:r>
          <w:rPr>
            <w:color w:val="0563C1"/>
            <w:u w:val="single"/>
          </w:rPr>
          <w:t>Source</w:t>
        </w:r>
      </w:hyperlink>
    </w:p>
    <w:p>
      <w:pPr>
        <w:pStyle w:val="ListNumber"/>
      </w:pPr>
      <w:r>
        <w:rPr>
          <w:b/>
        </w:rPr>
        <w:t xml:space="preserve">S9 — HealthifyMe. </w:t>
      </w:r>
      <w:r>
        <w:t xml:space="preserve">Indian food/AI tracking and consumer-health positioning. </w:t>
      </w:r>
      <w:hyperlink r:id="rId17">
        <w:r>
          <w:rPr>
            <w:color w:val="0563C1"/>
            <w:u w:val="single"/>
          </w:rPr>
          <w:t>Source</w:t>
        </w:r>
      </w:hyperlink>
    </w:p>
    <w:p>
      <w:pPr>
        <w:pStyle w:val="ListNumber"/>
      </w:pPr>
      <w:r>
        <w:rPr>
          <w:b/>
        </w:rPr>
        <w:t xml:space="preserve">S10 — GS1 India Smart Consumer. </w:t>
      </w:r>
      <w:r>
        <w:t xml:space="preserve">Product/consumer information infrastructure in India. </w:t>
      </w:r>
      <w:hyperlink r:id="rId18">
        <w:r>
          <w:rPr>
            <w:color w:val="0563C1"/>
            <w:u w:val="single"/>
          </w:rPr>
          <w:t>Source</w:t>
        </w:r>
      </w:hyperlink>
    </w:p>
    <w:p>
      <w:pPr>
        <w:pStyle w:val="ListNumber"/>
      </w:pPr>
      <w:r>
        <w:rPr>
          <w:b/>
        </w:rPr>
        <w:t xml:space="preserve">S11 — WHO India / ICRIER – Growth of Ultra-Processed Foods in India (2023). </w:t>
      </w:r>
      <w:r>
        <w:t xml:space="preserve">Growth of India’s UPF retail sector and category context. </w:t>
      </w:r>
      <w:hyperlink r:id="rId19">
        <w:r>
          <w:rPr>
            <w:color w:val="0563C1"/>
            <w:u w:val="single"/>
          </w:rPr>
          <w:t>Source</w:t>
        </w:r>
      </w:hyperlink>
    </w:p>
    <w:p>
      <w:pPr>
        <w:pStyle w:val="ListNumber"/>
      </w:pPr>
      <w:r>
        <w:rPr>
          <w:b/>
        </w:rPr>
        <w:t xml:space="preserve">S12 — ICMR-NIN Dietary Guidelines for Indians 2024. </w:t>
      </w:r>
      <w:r>
        <w:t xml:space="preserve">Indian dietary guidance including added-sugar and balanced-diet context. </w:t>
      </w:r>
      <w:hyperlink r:id="rId20">
        <w:r>
          <w:rPr>
            <w:color w:val="0563C1"/>
            <w:u w:val="single"/>
          </w:rPr>
          <w:t>Source</w:t>
        </w:r>
      </w:hyperlink>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S2213-8587(23)00119-5" TargetMode="External"/><Relationship Id="rId10" Type="http://schemas.openxmlformats.org/officeDocument/2006/relationships/hyperlink" Target="https://www.mospi.gov.in/sites/default/files/publication_reports/HCES%20FactSheet%202023-24.pdf" TargetMode="External"/><Relationship Id="rId11" Type="http://schemas.openxmlformats.org/officeDocument/2006/relationships/hyperlink" Target="https://api.sci.gov.in/supremecourt/2025/35988/35988_2025_6_12_68509_Order_10-Feb-2026.pdf" TargetMode="External"/><Relationship Id="rId12" Type="http://schemas.openxmlformats.org/officeDocument/2006/relationships/hyperlink" Target="https://www.meity.gov.in/static/uploads/2024/02/Digital-Personal-Data-Protection-Act-2023.pdf" TargetMode="External"/><Relationship Id="rId13" Type="http://schemas.openxmlformats.org/officeDocument/2006/relationships/hyperlink" Target="https://www.meity.gov.in/documents/act-and-policies/digital-personal-data-protection-rules-2025" TargetMode="External"/><Relationship Id="rId14" Type="http://schemas.openxmlformats.org/officeDocument/2006/relationships/hyperlink" Target="https://www.jmir.org/2024/1/e56897" TargetMode="External"/><Relationship Id="rId15" Type="http://schemas.openxmlformats.org/officeDocument/2006/relationships/hyperlink" Target="https://yuka.io/en/press/" TargetMode="External"/><Relationship Id="rId16" Type="http://schemas.openxmlformats.org/officeDocument/2006/relationships/hyperlink" Target="https://blog.openfoodfacts.org/en/news/open-food-facts-india-database-reaches-10k-product-milestone" TargetMode="External"/><Relationship Id="rId17" Type="http://schemas.openxmlformats.org/officeDocument/2006/relationships/hyperlink" Target="https://www.healthifyme.com/" TargetMode="External"/><Relationship Id="rId18" Type="http://schemas.openxmlformats.org/officeDocument/2006/relationships/hyperlink" Target="https://www.gs1india.org/services/smart-consumer" TargetMode="External"/><Relationship Id="rId19" Type="http://schemas.openxmlformats.org/officeDocument/2006/relationships/hyperlink" Target="https://www.icrier.org/pdf/UPF_Report_2023.pdf" TargetMode="External"/><Relationship Id="rId20" Type="http://schemas.openxmlformats.org/officeDocument/2006/relationships/hyperlink" Target="https://www.nin.res.in/downloads/DietaryGuidelinesforNINwebsi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