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Business Requirements Document (BRD)</w:t>
      </w:r>
    </w:p>
    <w:p>
      <w:pPr>
        <w:jc w:val="center"/>
      </w:pPr>
      <w:r>
        <w:rPr>
          <w:i/>
          <w:sz w:val="24"/>
        </w:rPr>
        <w:t>Family Food Intelligence Platform — business requirements and scope</w:t>
      </w:r>
    </w:p>
    <w:p>
      <w:pPr>
        <w:jc w:val="center"/>
      </w:pPr>
      <w:r>
        <w:rPr>
          <w:sz w:val="18"/>
        </w:rPr>
        <w:t>v0.1 | 05 Sep 2026</w:t>
      </w:r>
    </w:p>
    <w:p/>
    <w:p>
      <w:pPr>
        <w:pStyle w:val="Heading1"/>
      </w:pPr>
      <w:r>
        <w:t>1. Business objective</w:t>
      </w:r>
    </w:p>
    <w:p>
      <w:r>
        <w:t>Create a trusted digital layer between Indian households and the food they purchase. The platform should reduce uncertainty at the moment of food choice, improve product substitutions, and create a path to a scalable consumer and B2B2C business.</w:t>
      </w:r>
    </w:p>
    <w:p>
      <w:pPr>
        <w:pStyle w:val="Heading1"/>
      </w:pPr>
      <w:r>
        <w:t>2. Business problem</w:t>
      </w:r>
    </w:p>
    <w:p>
      <w:r>
        <w:t>Indian packaged-food labels contain useful information, yet translating the label into a personalized decision remains difficult. India also carries a large burden of metabolic disease and nutritional imbalance (S1, S12). The product must solve decision friction, not simply add another information source.</w:t>
      </w:r>
    </w:p>
    <w:p>
      <w:pPr>
        <w:pStyle w:val="Heading1"/>
      </w:pPr>
      <w:r>
        <w:t>3. Business outcomes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AF7"/>
            <w:vAlign w:val="center"/>
          </w:tcPr>
          <w:p>
            <w:r>
              <w:t>Outcome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t>Definition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t>Initial success signal</w:t>
            </w:r>
          </w:p>
        </w:tc>
      </w:tr>
      <w:tr>
        <w:tc>
          <w:tcPr>
            <w:tcW w:type="dxa" w:w="3360"/>
            <w:vAlign w:val="top"/>
          </w:tcPr>
          <w:p>
            <w:r>
              <w:t>Decision utility</w:t>
            </w:r>
          </w:p>
        </w:tc>
        <w:tc>
          <w:tcPr>
            <w:tcW w:type="dxa" w:w="3360"/>
            <w:vAlign w:val="top"/>
          </w:tcPr>
          <w:p>
            <w:r>
              <w:t>Users can reach a clear food decision in seconds</w:t>
            </w:r>
          </w:p>
        </w:tc>
        <w:tc>
          <w:tcPr>
            <w:tcW w:type="dxa" w:w="3360"/>
            <w:vAlign w:val="top"/>
          </w:tcPr>
          <w:p>
            <w:r>
              <w:t>High verdict completion</w:t>
            </w:r>
          </w:p>
        </w:tc>
      </w:tr>
      <w:tr>
        <w:tc>
          <w:tcPr>
            <w:tcW w:type="dxa" w:w="3360"/>
            <w:vAlign w:val="top"/>
          </w:tcPr>
          <w:p>
            <w:r>
              <w:t>Behavior change</w:t>
            </w:r>
          </w:p>
        </w:tc>
        <w:tc>
          <w:tcPr>
            <w:tcW w:type="dxa" w:w="3360"/>
            <w:vAlign w:val="top"/>
          </w:tcPr>
          <w:p>
            <w:r>
              <w:t>Users accept a healthier alternative or improve a basket</w:t>
            </w:r>
          </w:p>
        </w:tc>
        <w:tc>
          <w:tcPr>
            <w:tcW w:type="dxa" w:w="3360"/>
            <w:vAlign w:val="top"/>
          </w:tcPr>
          <w:p>
            <w:r>
              <w:t>Healthy Decision Rate</w:t>
            </w:r>
          </w:p>
        </w:tc>
      </w:tr>
      <w:tr>
        <w:tc>
          <w:tcPr>
            <w:tcW w:type="dxa" w:w="3360"/>
            <w:vAlign w:val="top"/>
          </w:tcPr>
          <w:p>
            <w:r>
              <w:t>Trust</w:t>
            </w:r>
          </w:p>
        </w:tc>
        <w:tc>
          <w:tcPr>
            <w:tcW w:type="dxa" w:w="3360"/>
            <w:vAlign w:val="top"/>
          </w:tcPr>
          <w:p>
            <w:r>
              <w:t>Users understand why a recommendation was made</w:t>
            </w:r>
          </w:p>
        </w:tc>
        <w:tc>
          <w:tcPr>
            <w:tcW w:type="dxa" w:w="3360"/>
            <w:vAlign w:val="top"/>
          </w:tcPr>
          <w:p>
            <w:r>
              <w:t>Low dispute/feedback rate</w:t>
            </w:r>
          </w:p>
        </w:tc>
      </w:tr>
      <w:tr>
        <w:tc>
          <w:tcPr>
            <w:tcW w:type="dxa" w:w="3360"/>
            <w:vAlign w:val="top"/>
          </w:tcPr>
          <w:p>
            <w:r>
              <w:t>Retention</w:t>
            </w:r>
          </w:p>
        </w:tc>
        <w:tc>
          <w:tcPr>
            <w:tcW w:type="dxa" w:w="3360"/>
            <w:vAlign w:val="top"/>
          </w:tcPr>
          <w:p>
            <w:r>
              <w:t>Users return during later shopping decisions</w:t>
            </w:r>
          </w:p>
        </w:tc>
        <w:tc>
          <w:tcPr>
            <w:tcW w:type="dxa" w:w="3360"/>
            <w:vAlign w:val="top"/>
          </w:tcPr>
          <w:p>
            <w:r>
              <w:t>Meaningful 4/8-week retention</w:t>
            </w:r>
          </w:p>
        </w:tc>
      </w:tr>
      <w:tr>
        <w:tc>
          <w:tcPr>
            <w:tcW w:type="dxa" w:w="3360"/>
            <w:vAlign w:val="top"/>
          </w:tcPr>
          <w:p>
            <w:r>
              <w:t>Commercial viability</w:t>
            </w:r>
          </w:p>
        </w:tc>
        <w:tc>
          <w:tcPr>
            <w:tcW w:type="dxa" w:w="3360"/>
            <w:vAlign w:val="top"/>
          </w:tcPr>
          <w:p>
            <w:r>
              <w:t>A payer sees enough value to fund access</w:t>
            </w:r>
          </w:p>
        </w:tc>
        <w:tc>
          <w:tcPr>
            <w:tcW w:type="dxa" w:w="3360"/>
            <w:vAlign w:val="top"/>
          </w:tcPr>
          <w:p>
            <w:r>
              <w:t>Paid pilot/LOI</w:t>
            </w:r>
          </w:p>
        </w:tc>
      </w:tr>
    </w:tbl>
    <w:p>
      <w:pPr>
        <w:pStyle w:val="Heading1"/>
      </w:pPr>
      <w:r>
        <w:t>4. Scope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  <w:vAlign w:val="center"/>
          </w:tcPr>
          <w:p>
            <w:r>
              <w:t>In scope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t>Out of scope for MVP</w:t>
            </w:r>
          </w:p>
        </w:tc>
      </w:tr>
      <w:tr>
        <w:tc>
          <w:tcPr>
            <w:tcW w:type="dxa" w:w="5040"/>
            <w:vAlign w:val="top"/>
          </w:tcPr>
          <w:p>
            <w:r>
              <w:t>Packaged-food product search</w:t>
            </w:r>
          </w:p>
        </w:tc>
        <w:tc>
          <w:tcPr>
            <w:tcW w:type="dxa" w:w="5040"/>
            <w:vAlign w:val="top"/>
          </w:tcPr>
          <w:p>
            <w:r>
              <w:t>Telemedicine</w:t>
            </w:r>
          </w:p>
        </w:tc>
      </w:tr>
      <w:tr>
        <w:tc>
          <w:tcPr>
            <w:tcW w:type="dxa" w:w="5040"/>
            <w:vAlign w:val="top"/>
          </w:tcPr>
          <w:p>
            <w:r>
              <w:t>Barcode and label OCR</w:t>
            </w:r>
          </w:p>
        </w:tc>
        <w:tc>
          <w:tcPr>
            <w:tcW w:type="dxa" w:w="5040"/>
            <w:vAlign w:val="top"/>
          </w:tcPr>
          <w:p>
            <w:r>
              <w:t>Clinical diagnosis</w:t>
            </w:r>
          </w:p>
        </w:tc>
      </w:tr>
      <w:tr>
        <w:tc>
          <w:tcPr>
            <w:tcW w:type="dxa" w:w="5040"/>
            <w:vAlign w:val="top"/>
          </w:tcPr>
          <w:p>
            <w:r>
              <w:t>Transparent product analysis</w:t>
            </w:r>
          </w:p>
        </w:tc>
        <w:tc>
          <w:tcPr>
            <w:tcW w:type="dxa" w:w="5040"/>
            <w:vAlign w:val="top"/>
          </w:tcPr>
          <w:p>
            <w:r>
              <w:t>Prescribing diet treatment</w:t>
            </w:r>
          </w:p>
        </w:tc>
      </w:tr>
      <w:tr>
        <w:tc>
          <w:tcPr>
            <w:tcW w:type="dxa" w:w="5040"/>
            <w:vAlign w:val="top"/>
          </w:tcPr>
          <w:p>
            <w:r>
              <w:t>Adult + parent-controlled family profiles</w:t>
            </w:r>
          </w:p>
        </w:tc>
        <w:tc>
          <w:tcPr>
            <w:tcW w:type="dxa" w:w="5040"/>
            <w:vAlign w:val="top"/>
          </w:tcPr>
          <w:p>
            <w:r>
              <w:t>Child-directed social features</w:t>
            </w:r>
          </w:p>
        </w:tc>
      </w:tr>
      <w:tr>
        <w:tc>
          <w:tcPr>
            <w:tcW w:type="dxa" w:w="5040"/>
            <w:vAlign w:val="top"/>
          </w:tcPr>
          <w:p>
            <w:r>
              <w:t>Personal/family fit verdict</w:t>
            </w:r>
          </w:p>
        </w:tc>
        <w:tc>
          <w:tcPr>
            <w:tcW w:type="dxa" w:w="5040"/>
            <w:vAlign w:val="top"/>
          </w:tcPr>
          <w:p>
            <w:r>
              <w:t>Full fitness/exercise tracking</w:t>
            </w:r>
          </w:p>
        </w:tc>
      </w:tr>
      <w:tr>
        <w:tc>
          <w:tcPr>
            <w:tcW w:type="dxa" w:w="5040"/>
            <w:vAlign w:val="top"/>
          </w:tcPr>
          <w:p>
            <w:r>
              <w:t>Alternative product recommendations</w:t>
            </w:r>
          </w:p>
        </w:tc>
        <w:tc>
          <w:tcPr>
            <w:tcW w:type="dxa" w:w="5040"/>
            <w:vAlign w:val="top"/>
          </w:tcPr>
          <w:p>
            <w:r>
              <w:t>Direct grocery fulfilment</w:t>
            </w:r>
          </w:p>
        </w:tc>
      </w:tr>
      <w:tr>
        <w:tc>
          <w:tcPr>
            <w:tcW w:type="dxa" w:w="5040"/>
            <w:vAlign w:val="top"/>
          </w:tcPr>
          <w:p>
            <w:r>
              <w:t>Basic optional food-event capture</w:t>
            </w:r>
          </w:p>
        </w:tc>
        <w:tc>
          <w:tcPr>
            <w:tcW w:type="dxa" w:w="5040"/>
            <w:vAlign w:val="top"/>
          </w:tcPr>
          <w:p>
            <w:r>
              <w:t>Continuous child behavioural monitoring</w:t>
            </w:r>
          </w:p>
        </w:tc>
      </w:tr>
    </w:tbl>
    <w:p>
      <w:pPr>
        <w:pStyle w:val="Heading1"/>
      </w:pPr>
      <w:r>
        <w:t>5. Stakeholders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  <w:vAlign w:val="center"/>
          </w:tcPr>
          <w:p>
            <w:r>
              <w:t>Stakeholder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t>Interest / responsibility</w:t>
            </w:r>
          </w:p>
        </w:tc>
      </w:tr>
      <w:tr>
        <w:tc>
          <w:tcPr>
            <w:tcW w:type="dxa" w:w="5040"/>
            <w:vAlign w:val="top"/>
          </w:tcPr>
          <w:p>
            <w:r>
              <w:t>Founder/Product</w:t>
            </w:r>
          </w:p>
        </w:tc>
        <w:tc>
          <w:tcPr>
            <w:tcW w:type="dxa" w:w="5040"/>
            <w:vAlign w:val="top"/>
          </w:tcPr>
          <w:p>
            <w:r>
              <w:t>Vision, prioritization, economics</w:t>
            </w:r>
          </w:p>
        </w:tc>
      </w:tr>
      <w:tr>
        <w:tc>
          <w:tcPr>
            <w:tcW w:type="dxa" w:w="5040"/>
            <w:vAlign w:val="top"/>
          </w:tcPr>
          <w:p>
            <w:r>
              <w:t>Engineering</w:t>
            </w:r>
          </w:p>
        </w:tc>
        <w:tc>
          <w:tcPr>
            <w:tcW w:type="dxa" w:w="5040"/>
            <w:vAlign w:val="top"/>
          </w:tcPr>
          <w:p>
            <w:r>
              <w:t>Architecture, reliability, security</w:t>
            </w:r>
          </w:p>
        </w:tc>
      </w:tr>
      <w:tr>
        <w:tc>
          <w:tcPr>
            <w:tcW w:type="dxa" w:w="5040"/>
            <w:vAlign w:val="top"/>
          </w:tcPr>
          <w:p>
            <w:r>
              <w:t>Nutrition/science advisor</w:t>
            </w:r>
          </w:p>
        </w:tc>
        <w:tc>
          <w:tcPr>
            <w:tcW w:type="dxa" w:w="5040"/>
            <w:vAlign w:val="top"/>
          </w:tcPr>
          <w:p>
            <w:r>
              <w:t>Scoring methodology, claims/evidence</w:t>
            </w:r>
          </w:p>
        </w:tc>
      </w:tr>
      <w:tr>
        <w:tc>
          <w:tcPr>
            <w:tcW w:type="dxa" w:w="5040"/>
            <w:vAlign w:val="top"/>
          </w:tcPr>
          <w:p>
            <w:r>
              <w:t>Privacy/legal</w:t>
            </w:r>
          </w:p>
        </w:tc>
        <w:tc>
          <w:tcPr>
            <w:tcW w:type="dxa" w:w="5040"/>
            <w:vAlign w:val="top"/>
          </w:tcPr>
          <w:p>
            <w:r>
              <w:t>DPDP, consent, terms, claims</w:t>
            </w:r>
          </w:p>
        </w:tc>
      </w:tr>
      <w:tr>
        <w:tc>
          <w:tcPr>
            <w:tcW w:type="dxa" w:w="5040"/>
            <w:vAlign w:val="top"/>
          </w:tcPr>
          <w:p>
            <w:r>
              <w:t>B2B2C partner</w:t>
            </w:r>
          </w:p>
        </w:tc>
        <w:tc>
          <w:tcPr>
            <w:tcW w:type="dxa" w:w="5040"/>
            <w:vAlign w:val="top"/>
          </w:tcPr>
          <w:p>
            <w:r>
              <w:t>Distribution and payer validation</w:t>
            </w:r>
          </w:p>
        </w:tc>
      </w:tr>
      <w:tr>
        <w:tc>
          <w:tcPr>
            <w:tcW w:type="dxa" w:w="5040"/>
            <w:vAlign w:val="top"/>
          </w:tcPr>
          <w:p>
            <w:r>
              <w:t>End users</w:t>
            </w:r>
          </w:p>
        </w:tc>
        <w:tc>
          <w:tcPr>
            <w:tcW w:type="dxa" w:w="5040"/>
            <w:vAlign w:val="top"/>
          </w:tcPr>
          <w:p>
            <w:r>
              <w:t>Household food decisions</w:t>
            </w:r>
          </w:p>
        </w:tc>
      </w:tr>
      <w:tr>
        <w:tc>
          <w:tcPr>
            <w:tcW w:type="dxa" w:w="5040"/>
            <w:vAlign w:val="top"/>
          </w:tcPr>
          <w:p>
            <w:r>
              <w:t>Data operations</w:t>
            </w:r>
          </w:p>
        </w:tc>
        <w:tc>
          <w:tcPr>
            <w:tcW w:type="dxa" w:w="5040"/>
            <w:vAlign w:val="top"/>
          </w:tcPr>
          <w:p>
            <w:r>
              <w:t>Product data verification/freshness</w:t>
            </w:r>
          </w:p>
        </w:tc>
      </w:tr>
    </w:tbl>
    <w:p>
      <w:pPr>
        <w:pStyle w:val="Heading1"/>
      </w:pPr>
      <w:r>
        <w:t>6. Business model hypotheses</w:t>
      </w:r>
    </w:p>
    <w:p>
      <w:r>
        <w:t>Primary hypotheses: (a) free core consumer utility with premium family intelligence; (b) B2B2C paid access through diagnostics, employers, clinics or insurers; (c) future commerce integrations without allowing commercial payments to influence health rankings. B2B2C should be validated early, not assumed as a later rescue plan.</w:t>
      </w:r>
    </w:p>
    <w:p>
      <w:pPr>
        <w:pStyle w:val="Heading1"/>
      </w:pPr>
      <w:r>
        <w:t>7. Product economics assumptions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AF7"/>
            <w:vAlign w:val="center"/>
          </w:tcPr>
          <w:p>
            <w:r>
              <w:t>Variable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t>Initial hypothesis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t>Validation</w:t>
            </w:r>
          </w:p>
        </w:tc>
      </w:tr>
      <w:tr>
        <w:tc>
          <w:tcPr>
            <w:tcW w:type="dxa" w:w="3360"/>
            <w:vAlign w:val="top"/>
          </w:tcPr>
          <w:p>
            <w:r>
              <w:t>Consumer revenue</w:t>
            </w:r>
          </w:p>
        </w:tc>
        <w:tc>
          <w:tcPr>
            <w:tcW w:type="dxa" w:w="3360"/>
            <w:vAlign w:val="top"/>
          </w:tcPr>
          <w:p>
            <w:r>
              <w:t>Low-priced annual family plan or lifetime unlock</w:t>
            </w:r>
          </w:p>
        </w:tc>
        <w:tc>
          <w:tcPr>
            <w:tcW w:type="dxa" w:w="3360"/>
            <w:vAlign w:val="top"/>
          </w:tcPr>
          <w:p>
            <w:r>
              <w:t>Payment test</w:t>
            </w:r>
          </w:p>
        </w:tc>
      </w:tr>
      <w:tr>
        <w:tc>
          <w:tcPr>
            <w:tcW w:type="dxa" w:w="3360"/>
            <w:vAlign w:val="top"/>
          </w:tcPr>
          <w:p>
            <w:r>
              <w:t>B2B2C</w:t>
            </w:r>
          </w:p>
        </w:tc>
        <w:tc>
          <w:tcPr>
            <w:tcW w:type="dxa" w:w="3360"/>
            <w:vAlign w:val="top"/>
          </w:tcPr>
          <w:p>
            <w:r>
              <w:t>Per-member / per-household annual access</w:t>
            </w:r>
          </w:p>
        </w:tc>
        <w:tc>
          <w:tcPr>
            <w:tcW w:type="dxa" w:w="3360"/>
            <w:vAlign w:val="top"/>
          </w:tcPr>
          <w:p>
            <w:r>
              <w:t>Pilot LOI / paid pilot</w:t>
            </w:r>
          </w:p>
        </w:tc>
      </w:tr>
      <w:tr>
        <w:tc>
          <w:tcPr>
            <w:tcW w:type="dxa" w:w="3360"/>
            <w:vAlign w:val="top"/>
          </w:tcPr>
          <w:p>
            <w:r>
              <w:t>Data operations</w:t>
            </w:r>
          </w:p>
        </w:tc>
        <w:tc>
          <w:tcPr>
            <w:tcW w:type="dxa" w:w="3360"/>
            <w:vAlign w:val="top"/>
          </w:tcPr>
          <w:p>
            <w:r>
              <w:t>Keep initial catalog narrow and freshness-controlled</w:t>
            </w:r>
          </w:p>
        </w:tc>
        <w:tc>
          <w:tcPr>
            <w:tcW w:type="dxa" w:w="3360"/>
            <w:vAlign w:val="top"/>
          </w:tcPr>
          <w:p>
            <w:r>
              <w:t>Cost per active SKU/month</w:t>
            </w:r>
          </w:p>
        </w:tc>
      </w:tr>
      <w:tr>
        <w:tc>
          <w:tcPr>
            <w:tcW w:type="dxa" w:w="3360"/>
            <w:vAlign w:val="top"/>
          </w:tcPr>
          <w:p>
            <w:r>
              <w:t>AI inference</w:t>
            </w:r>
          </w:p>
        </w:tc>
        <w:tc>
          <w:tcPr>
            <w:tcW w:type="dxa" w:w="3360"/>
            <w:vAlign w:val="top"/>
          </w:tcPr>
          <w:p>
            <w:r>
              <w:t>Use AI where it reduces interaction cost</w:t>
            </w:r>
          </w:p>
        </w:tc>
        <w:tc>
          <w:tcPr>
            <w:tcW w:type="dxa" w:w="3360"/>
            <w:vAlign w:val="top"/>
          </w:tcPr>
          <w:p>
            <w:r>
              <w:t>Cost per successful decision</w:t>
            </w:r>
          </w:p>
        </w:tc>
      </w:tr>
    </w:tbl>
    <w:p>
      <w:pPr>
        <w:pStyle w:val="Heading1"/>
      </w:pPr>
      <w:r>
        <w:t>8. Business acceptance criteria</w:t>
      </w:r>
    </w:p>
    <w:p>
      <w:pPr>
        <w:pStyle w:val="ListBullet"/>
      </w:pPr>
      <w:r>
        <w:t>A user can analyze a real packaged product and receive a defensible verdict.</w:t>
      </w:r>
    </w:p>
    <w:p>
      <w:pPr>
        <w:pStyle w:val="ListBullet"/>
      </w:pPr>
      <w:r>
        <w:t>A household can apply different preferences/constraints to different members.</w:t>
      </w:r>
    </w:p>
    <w:p>
      <w:pPr>
        <w:pStyle w:val="ListBullet"/>
      </w:pPr>
      <w:r>
        <w:t>A parent can manage a child profile only through a compliant guardian flow.</w:t>
      </w:r>
    </w:p>
    <w:p>
      <w:pPr>
        <w:pStyle w:val="ListBullet"/>
      </w:pPr>
      <w:r>
        <w:t>The app can explain every score/verdict with evidence and data provenance.</w:t>
      </w:r>
    </w:p>
    <w:p>
      <w:pPr>
        <w:pStyle w:val="ListBullet"/>
      </w:pPr>
      <w:r>
        <w:t>No partner can pay to alter health rankings.</w:t>
      </w:r>
    </w:p>
    <w:p>
      <w:pPr>
        <w:pStyle w:val="ListBullet"/>
      </w:pPr>
      <w:r>
        <w:t>A controlled pilot demonstrates measurable purchase substitution or other decision improvement.</w:t>
      </w:r>
    </w:p>
    <w:p>
      <w:pPr>
        <w:pStyle w:val="Heading1"/>
      </w:pPr>
      <w:r>
        <w:t>9. Dependencies</w:t>
      </w:r>
    </w:p>
    <w:p>
      <w:pPr>
        <w:pStyle w:val="ListBullet"/>
      </w:pPr>
      <w:r>
        <w:t>Verified product/nutrition data sources (e.g., GS1/Open Food Facts/licensed sources/user label capture).</w:t>
      </w:r>
    </w:p>
    <w:p>
      <w:pPr>
        <w:pStyle w:val="ListBullet"/>
      </w:pPr>
      <w:r>
        <w:t>Nutrition/science review of scoring rules.</w:t>
      </w:r>
    </w:p>
    <w:p>
      <w:pPr>
        <w:pStyle w:val="ListBullet"/>
      </w:pPr>
      <w:r>
        <w:t>Privacy/legal review before child profile launch.</w:t>
      </w:r>
    </w:p>
    <w:p>
      <w:pPr>
        <w:pStyle w:val="ListBullet"/>
      </w:pPr>
      <w:r>
        <w:t>Identity/consent infrastructure.</w:t>
      </w:r>
    </w:p>
    <w:p>
      <w:pPr>
        <w:pStyle w:val="ListBullet"/>
      </w:pPr>
      <w:r>
        <w:t>Cloud search, storage and analytics.</w:t>
      </w:r>
    </w:p>
    <w:p>
      <w:pPr>
        <w:pStyle w:val="ListBullet"/>
      </w:pPr>
      <w:r>
        <w:t>Potential partner access for order/receipt data.</w:t>
      </w:r>
    </w:p>
    <w:p>
      <w:pPr>
        <w:pStyle w:val="Heading1"/>
      </w:pPr>
      <w:r>
        <w:t>Research sources</w:t>
      </w:r>
    </w:p>
    <w:p>
      <w:r>
        <w:t>The following sources underpin market, regulatory and product assumptions. Claims should be re-checked at release because regulations, competitor features and product data can change.</w:t>
      </w:r>
    </w:p>
    <w:p>
      <w:pPr>
        <w:pStyle w:val="ListNumber"/>
      </w:pPr>
      <w:r>
        <w:rPr>
          <w:b/>
        </w:rPr>
        <w:t xml:space="preserve">S1 — ICMR-INDIAB / The Lancet Diabetes &amp; Endocrinology (2023). </w:t>
      </w:r>
      <w:r>
        <w:t xml:space="preserve">National prevalence of diabetes, prediabetes, hypertension, obesity and dyslipidaemia in India. </w:t>
      </w:r>
      <w:hyperlink r:id="rId9">
        <w:r>
          <w:rPr>
            <w:color w:val="0563C1"/>
            <w:u w:val="single"/>
          </w:rPr>
          <w:t>Source</w:t>
        </w:r>
      </w:hyperlink>
    </w:p>
    <w:p>
      <w:pPr>
        <w:pStyle w:val="ListNumber"/>
      </w:pPr>
      <w:r>
        <w:rPr>
          <w:b/>
        </w:rPr>
        <w:t xml:space="preserve">S2 — MoSPI Household Consumption Expenditure Survey 2023-24. </w:t>
      </w:r>
      <w:r>
        <w:t xml:space="preserve">Official household consumption/expenditure survey and household-level consumption context. </w:t>
      </w:r>
      <w:hyperlink r:id="rId10">
        <w:r>
          <w:rPr>
            <w:color w:val="0563C1"/>
            <w:u w:val="single"/>
          </w:rPr>
          <w:t>Source</w:t>
        </w:r>
      </w:hyperlink>
    </w:p>
    <w:p>
      <w:pPr>
        <w:pStyle w:val="ListNumber"/>
      </w:pPr>
      <w:r>
        <w:rPr>
          <w:b/>
        </w:rPr>
        <w:t xml:space="preserve">S3 — FSSAI / Supreme Court order, 10 Feb 2026. </w:t>
      </w:r>
      <w:r>
        <w:t xml:space="preserve">Indian Nutrition Rating and front-of-pack nutrition labelling context. </w:t>
      </w:r>
      <w:hyperlink r:id="rId11">
        <w:r>
          <w:rPr>
            <w:color w:val="0563C1"/>
            <w:u w:val="single"/>
          </w:rPr>
          <w:t>Source</w:t>
        </w:r>
      </w:hyperlink>
    </w:p>
    <w:p>
      <w:pPr>
        <w:pStyle w:val="ListNumber"/>
      </w:pPr>
      <w:r>
        <w:rPr>
          <w:b/>
        </w:rPr>
        <w:t xml:space="preserve">S4 — MeitY Digital Personal Data Protection Act 2023. </w:t>
      </w:r>
      <w:r>
        <w:t xml:space="preserve">Child personal data, verifiable parental consent, restrictions on tracking/behavioural monitoring. </w:t>
      </w:r>
      <w:hyperlink r:id="rId12">
        <w:r>
          <w:rPr>
            <w:color w:val="0563C1"/>
            <w:u w:val="single"/>
          </w:rPr>
          <w:t>Source</w:t>
        </w:r>
      </w:hyperlink>
    </w:p>
    <w:p>
      <w:pPr>
        <w:pStyle w:val="ListNumber"/>
      </w:pPr>
      <w:r>
        <w:rPr>
          <w:b/>
        </w:rPr>
        <w:t xml:space="preserve">S5 — MeitY Digital Personal Data Protection Rules 2025. </w:t>
      </w:r>
      <w:r>
        <w:t xml:space="preserve">Current DPDP Rules and implementation context, including verifiable consent mechanisms. </w:t>
      </w:r>
      <w:hyperlink r:id="rId13">
        <w:r>
          <w:rPr>
            <w:color w:val="0563C1"/>
            <w:u w:val="single"/>
          </w:rPr>
          <w:t>Source</w:t>
        </w:r>
      </w:hyperlink>
    </w:p>
    <w:p>
      <w:pPr>
        <w:pStyle w:val="ListNumber"/>
      </w:pPr>
      <w:r>
        <w:rPr>
          <w:b/>
        </w:rPr>
        <w:t xml:space="preserve">S6 — JMIR 2024 scoping review of health-app discontinuation. </w:t>
      </w:r>
      <w:r>
        <w:t xml:space="preserve">Evidence on health/diet app abandonment and sustained tracking challenges. </w:t>
      </w:r>
      <w:hyperlink r:id="rId14">
        <w:r>
          <w:rPr>
            <w:color w:val="0563C1"/>
            <w:u w:val="single"/>
          </w:rPr>
          <w:t>Source</w:t>
        </w:r>
      </w:hyperlink>
    </w:p>
    <w:p>
      <w:pPr>
        <w:pStyle w:val="ListNumber"/>
      </w:pPr>
      <w:r>
        <w:rPr>
          <w:b/>
        </w:rPr>
        <w:t xml:space="preserve">S7 — Yuka – press / social impact. </w:t>
      </w:r>
      <w:r>
        <w:t xml:space="preserve">Scale, product model, independence/trust positioning. </w:t>
      </w:r>
      <w:hyperlink r:id="rId15">
        <w:r>
          <w:rPr>
            <w:color w:val="0563C1"/>
            <w:u w:val="single"/>
          </w:rPr>
          <w:t>Source</w:t>
        </w:r>
      </w:hyperlink>
    </w:p>
    <w:p>
      <w:pPr>
        <w:pStyle w:val="ListNumber"/>
      </w:pPr>
      <w:r>
        <w:rPr>
          <w:b/>
        </w:rPr>
        <w:t xml:space="preserve">S8 — Open Food Facts – India milestone. </w:t>
      </w:r>
      <w:r>
        <w:t xml:space="preserve">Illustrates current crowd-sourced Indian packaged-food database scale. </w:t>
      </w:r>
      <w:hyperlink r:id="rId16">
        <w:r>
          <w:rPr>
            <w:color w:val="0563C1"/>
            <w:u w:val="single"/>
          </w:rPr>
          <w:t>Source</w:t>
        </w:r>
      </w:hyperlink>
    </w:p>
    <w:p>
      <w:pPr>
        <w:pStyle w:val="ListNumber"/>
      </w:pPr>
      <w:r>
        <w:rPr>
          <w:b/>
        </w:rPr>
        <w:t xml:space="preserve">S9 — HealthifyMe. </w:t>
      </w:r>
      <w:r>
        <w:t xml:space="preserve">Indian food/AI tracking and consumer-health positioning. </w:t>
      </w:r>
      <w:hyperlink r:id="rId17">
        <w:r>
          <w:rPr>
            <w:color w:val="0563C1"/>
            <w:u w:val="single"/>
          </w:rPr>
          <w:t>Source</w:t>
        </w:r>
      </w:hyperlink>
    </w:p>
    <w:p>
      <w:pPr>
        <w:pStyle w:val="ListNumber"/>
      </w:pPr>
      <w:r>
        <w:rPr>
          <w:b/>
        </w:rPr>
        <w:t xml:space="preserve">S10 — GS1 India Smart Consumer. </w:t>
      </w:r>
      <w:r>
        <w:t xml:space="preserve">Product/consumer information infrastructure in India. </w:t>
      </w:r>
      <w:hyperlink r:id="rId18">
        <w:r>
          <w:rPr>
            <w:color w:val="0563C1"/>
            <w:u w:val="single"/>
          </w:rPr>
          <w:t>Source</w:t>
        </w:r>
      </w:hyperlink>
    </w:p>
    <w:p>
      <w:pPr>
        <w:pStyle w:val="ListNumber"/>
      </w:pPr>
      <w:r>
        <w:rPr>
          <w:b/>
        </w:rPr>
        <w:t xml:space="preserve">S11 — WHO India / ICRIER – Growth of Ultra-Processed Foods in India (2023). </w:t>
      </w:r>
      <w:r>
        <w:t xml:space="preserve">Growth of India’s UPF retail sector and category context. </w:t>
      </w:r>
      <w:hyperlink r:id="rId19">
        <w:r>
          <w:rPr>
            <w:color w:val="0563C1"/>
            <w:u w:val="single"/>
          </w:rPr>
          <w:t>Source</w:t>
        </w:r>
      </w:hyperlink>
    </w:p>
    <w:p>
      <w:pPr>
        <w:pStyle w:val="ListNumber"/>
      </w:pPr>
      <w:r>
        <w:rPr>
          <w:b/>
        </w:rPr>
        <w:t xml:space="preserve">S12 — ICMR-NIN Dietary Guidelines for Indians 2024. </w:t>
      </w:r>
      <w:r>
        <w:t xml:space="preserve">Indian dietary guidance including added-sugar and balanced-diet context. </w:t>
      </w:r>
      <w:hyperlink r:id="rId20">
        <w:r>
          <w:rPr>
            <w:color w:val="0563C1"/>
            <w:u w:val="single"/>
          </w:rPr>
          <w:t>Source</w:t>
        </w:r>
      </w:hyperlink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i.org/10.1016/S2213-8587(23)00119-5" TargetMode="External"/><Relationship Id="rId10" Type="http://schemas.openxmlformats.org/officeDocument/2006/relationships/hyperlink" Target="https://www.mospi.gov.in/sites/default/files/publication_reports/HCES%20FactSheet%202023-24.pdf" TargetMode="External"/><Relationship Id="rId11" Type="http://schemas.openxmlformats.org/officeDocument/2006/relationships/hyperlink" Target="https://api.sci.gov.in/supremecourt/2025/35988/35988_2025_6_12_68509_Order_10-Feb-2026.pdf" TargetMode="External"/><Relationship Id="rId12" Type="http://schemas.openxmlformats.org/officeDocument/2006/relationships/hyperlink" Target="https://www.meity.gov.in/static/uploads/2024/02/Digital-Personal-Data-Protection-Act-2023.pdf" TargetMode="External"/><Relationship Id="rId13" Type="http://schemas.openxmlformats.org/officeDocument/2006/relationships/hyperlink" Target="https://www.meity.gov.in/documents/act-and-policies/digital-personal-data-protection-rules-2025" TargetMode="External"/><Relationship Id="rId14" Type="http://schemas.openxmlformats.org/officeDocument/2006/relationships/hyperlink" Target="https://www.jmir.org/2024/1/e56897" TargetMode="External"/><Relationship Id="rId15" Type="http://schemas.openxmlformats.org/officeDocument/2006/relationships/hyperlink" Target="https://yuka.io/en/press/" TargetMode="External"/><Relationship Id="rId16" Type="http://schemas.openxmlformats.org/officeDocument/2006/relationships/hyperlink" Target="https://blog.openfoodfacts.org/en/news/open-food-facts-india-database-reaches-10k-product-milestone" TargetMode="External"/><Relationship Id="rId17" Type="http://schemas.openxmlformats.org/officeDocument/2006/relationships/hyperlink" Target="https://www.healthifyme.com/" TargetMode="External"/><Relationship Id="rId18" Type="http://schemas.openxmlformats.org/officeDocument/2006/relationships/hyperlink" Target="https://www.gs1india.org/services/smart-consumer" TargetMode="External"/><Relationship Id="rId19" Type="http://schemas.openxmlformats.org/officeDocument/2006/relationships/hyperlink" Target="https://www.icrier.org/pdf/UPF_Report_2023.pdf" TargetMode="External"/><Relationship Id="rId20" Type="http://schemas.openxmlformats.org/officeDocument/2006/relationships/hyperlink" Target="https://www.nin.res.in/downloads/DietaryGuidelinesforNINwebsite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