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Product Requirements Document (PRD)</w:t>
      </w:r>
    </w:p>
    <w:p>
      <w:pPr>
        <w:jc w:val="center"/>
      </w:pPr>
      <w:r>
        <w:rPr>
          <w:i/>
          <w:sz w:val="24"/>
        </w:rPr>
        <w:t>MVP — Food Decision Engine with Family Context</w:t>
      </w:r>
    </w:p>
    <w:p>
      <w:pPr>
        <w:jc w:val="center"/>
      </w:pPr>
      <w:r>
        <w:rPr>
          <w:sz w:val="18"/>
        </w:rPr>
        <w:t>v0.1 | 05 Sep 2026</w:t>
      </w:r>
    </w:p>
    <w:p/>
    <w:p>
      <w:pPr>
        <w:pStyle w:val="Heading1"/>
      </w:pPr>
      <w:r>
        <w:t>1. Product goal</w:t>
      </w:r>
    </w:p>
    <w:p>
      <w:r>
        <w:t>Enable a household member to search or scan a packaged food, understand its nutrition/ingredient profile, see how it fits each household member, compare better alternatives, and optionally record the purchase or consumption with minimal friction.</w:t>
      </w:r>
    </w:p>
    <w:p>
      <w:pPr>
        <w:pStyle w:val="Heading1"/>
      </w:pPr>
      <w:r>
        <w:t>2. MVP product principles</w:t>
      </w:r>
    </w:p>
    <w:p>
      <w:pPr>
        <w:pStyle w:val="ListBullet"/>
      </w:pPr>
      <w:r>
        <w:t>Search/cart-first architecture; barcode/OCR are parallel inputs.</w:t>
      </w:r>
    </w:p>
    <w:p>
      <w:pPr>
        <w:pStyle w:val="ListBullet"/>
      </w:pPr>
      <w:r>
        <w:t>One product can produce different “fit” outcomes for different family members.</w:t>
      </w:r>
    </w:p>
    <w:p>
      <w:pPr>
        <w:pStyle w:val="ListBullet"/>
      </w:pPr>
      <w:r>
        <w:t>Product score and personal fit are distinct.</w:t>
      </w:r>
    </w:p>
    <w:p>
      <w:pPr>
        <w:pStyle w:val="ListBullet"/>
      </w:pPr>
      <w:r>
        <w:t>Deterministic rules calculate; AI explains.</w:t>
      </w:r>
    </w:p>
    <w:p>
      <w:pPr>
        <w:pStyle w:val="ListBullet"/>
      </w:pPr>
      <w:r>
        <w:t>Every material claim has evidence/provenance.</w:t>
      </w:r>
    </w:p>
    <w:p>
      <w:pPr>
        <w:pStyle w:val="ListBullet"/>
      </w:pPr>
      <w:r>
        <w:t>No medical diagnosis or treatment instructions.</w:t>
      </w:r>
    </w:p>
    <w:p>
      <w:pPr>
        <w:pStyle w:val="ListBullet"/>
      </w:pPr>
      <w:r>
        <w:t>Children are parent-controlled and data-minimized.</w:t>
      </w:r>
    </w:p>
    <w:p>
      <w:pPr>
        <w:pStyle w:val="Heading1"/>
      </w:pPr>
      <w:r>
        <w:t>3. Core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Journey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Flow</w:t>
            </w:r>
          </w:p>
        </w:tc>
      </w:tr>
      <w:tr>
        <w:tc>
          <w:tcPr>
            <w:tcW w:type="dxa" w:w="3360"/>
            <w:vAlign w:val="top"/>
          </w:tcPr>
          <w:p>
            <w:r>
              <w:t>J1</w:t>
            </w:r>
          </w:p>
        </w:tc>
        <w:tc>
          <w:tcPr>
            <w:tcW w:type="dxa" w:w="3360"/>
            <w:vAlign w:val="top"/>
          </w:tcPr>
          <w:p>
            <w:r>
              <w:t>Analyze a product</w:t>
            </w:r>
          </w:p>
        </w:tc>
        <w:tc>
          <w:tcPr>
            <w:tcW w:type="dxa" w:w="3360"/>
            <w:vAlign w:val="top"/>
          </w:tcPr>
          <w:p>
            <w:r>
              <w:t>Search product → open result → nutrition/ingredients → product score → personal/family fit → alternative</w:t>
            </w:r>
          </w:p>
        </w:tc>
      </w:tr>
      <w:tr>
        <w:tc>
          <w:tcPr>
            <w:tcW w:type="dxa" w:w="3360"/>
            <w:vAlign w:val="top"/>
          </w:tcPr>
          <w:p>
            <w:r>
              <w:t>J2</w:t>
            </w:r>
          </w:p>
        </w:tc>
        <w:tc>
          <w:tcPr>
            <w:tcW w:type="dxa" w:w="3360"/>
            <w:vAlign w:val="top"/>
          </w:tcPr>
          <w:p>
            <w:r>
              <w:t>Scan a product</w:t>
            </w:r>
          </w:p>
        </w:tc>
        <w:tc>
          <w:tcPr>
            <w:tcW w:type="dxa" w:w="3360"/>
            <w:vAlign w:val="top"/>
          </w:tcPr>
          <w:p>
            <w:r>
              <w:t>Camera/barcode → lookup → same result experience; fallback to label OCR</w:t>
            </w:r>
          </w:p>
        </w:tc>
      </w:tr>
      <w:tr>
        <w:tc>
          <w:tcPr>
            <w:tcW w:type="dxa" w:w="3360"/>
            <w:vAlign w:val="top"/>
          </w:tcPr>
          <w:p>
            <w:r>
              <w:t>J3</w:t>
            </w:r>
          </w:p>
        </w:tc>
        <w:tc>
          <w:tcPr>
            <w:tcW w:type="dxa" w:w="3360"/>
            <w:vAlign w:val="top"/>
          </w:tcPr>
          <w:p>
            <w:r>
              <w:t>Create family</w:t>
            </w:r>
          </w:p>
        </w:tc>
        <w:tc>
          <w:tcPr>
            <w:tcW w:type="dxa" w:w="3360"/>
            <w:vAlign w:val="top"/>
          </w:tcPr>
          <w:p>
            <w:r>
              <w:t>Create household → add adult member(s) → optional child member via guardian consent → preferences/constraints</w:t>
            </w:r>
          </w:p>
        </w:tc>
      </w:tr>
      <w:tr>
        <w:tc>
          <w:tcPr>
            <w:tcW w:type="dxa" w:w="3360"/>
            <w:vAlign w:val="top"/>
          </w:tcPr>
          <w:p>
            <w:r>
              <w:t>J4</w:t>
            </w:r>
          </w:p>
        </w:tc>
        <w:tc>
          <w:tcPr>
            <w:tcW w:type="dxa" w:w="3360"/>
            <w:vAlign w:val="top"/>
          </w:tcPr>
          <w:p>
            <w:r>
              <w:t>Compare alternatives</w:t>
            </w:r>
          </w:p>
        </w:tc>
        <w:tc>
          <w:tcPr>
            <w:tcW w:type="dxa" w:w="3360"/>
            <w:vAlign w:val="top"/>
          </w:tcPr>
          <w:p>
            <w:r>
              <w:t>View 3–5 comparable products → compare key nutrients → choose alternative</w:t>
            </w:r>
          </w:p>
        </w:tc>
      </w:tr>
      <w:tr>
        <w:tc>
          <w:tcPr>
            <w:tcW w:type="dxa" w:w="3360"/>
            <w:vAlign w:val="top"/>
          </w:tcPr>
          <w:p>
            <w:r>
              <w:t>J5</w:t>
            </w:r>
          </w:p>
        </w:tc>
        <w:tc>
          <w:tcPr>
            <w:tcW w:type="dxa" w:w="3360"/>
            <w:vAlign w:val="top"/>
          </w:tcPr>
          <w:p>
            <w:r>
              <w:t>Review basket (later MVP+)</w:t>
            </w:r>
          </w:p>
        </w:tc>
        <w:tc>
          <w:tcPr>
            <w:tcW w:type="dxa" w:w="3360"/>
            <w:vAlign w:val="top"/>
          </w:tcPr>
          <w:p>
            <w:r>
              <w:t>Select multiple products/receipt → basket analysis → top substitutions</w:t>
            </w:r>
          </w:p>
        </w:tc>
      </w:tr>
    </w:tbl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Requirement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3360"/>
            <w:vAlign w:val="top"/>
          </w:tcPr>
          <w:p>
            <w:r>
              <w:t>FR-001</w:t>
            </w:r>
          </w:p>
        </w:tc>
        <w:tc>
          <w:tcPr>
            <w:tcW w:type="dxa" w:w="3360"/>
            <w:vAlign w:val="top"/>
          </w:tcPr>
          <w:p>
            <w:r>
              <w:t>Product search</w:t>
            </w:r>
          </w:p>
        </w:tc>
        <w:tc>
          <w:tcPr>
            <w:tcW w:type="dxa" w:w="3360"/>
            <w:vAlign w:val="top"/>
          </w:tcPr>
          <w:p>
            <w:r>
              <w:t>Search by brand/product/category; return confidence and source.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FR-002</w:t>
            </w:r>
          </w:p>
        </w:tc>
        <w:tc>
          <w:tcPr>
            <w:tcW w:type="dxa" w:w="3360"/>
            <w:vAlign w:val="top"/>
          </w:tcPr>
          <w:p>
            <w:r>
              <w:t>Barcode lookup</w:t>
            </w:r>
          </w:p>
        </w:tc>
        <w:tc>
          <w:tcPr>
            <w:tcW w:type="dxa" w:w="3360"/>
            <w:vAlign w:val="top"/>
          </w:tcPr>
          <w:p>
            <w:r>
              <w:t>Decode common retail barcodes; show “not found” recovery via OCR.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FR-003</w:t>
            </w:r>
          </w:p>
        </w:tc>
        <w:tc>
          <w:tcPr>
            <w:tcW w:type="dxa" w:w="3360"/>
            <w:vAlign w:val="top"/>
          </w:tcPr>
          <w:p>
            <w:r>
              <w:t>Label OCR</w:t>
            </w:r>
          </w:p>
        </w:tc>
        <w:tc>
          <w:tcPr>
            <w:tcW w:type="dxa" w:w="3360"/>
            <w:vAlign w:val="top"/>
          </w:tcPr>
          <w:p>
            <w:r>
              <w:t>Extract nutrition panel, ingredients, allergens and serving size; require confirmation for low-confidence fields.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FR-004</w:t>
            </w:r>
          </w:p>
        </w:tc>
        <w:tc>
          <w:tcPr>
            <w:tcW w:type="dxa" w:w="3360"/>
            <w:vAlign w:val="top"/>
          </w:tcPr>
          <w:p>
            <w:r>
              <w:t>Product profile</w:t>
            </w:r>
          </w:p>
        </w:tc>
        <w:tc>
          <w:tcPr>
            <w:tcW w:type="dxa" w:w="3360"/>
            <w:vAlign w:val="top"/>
          </w:tcPr>
          <w:p>
            <w:r>
              <w:t>Show product facts, source, updated date, score components and key concerns.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FR-005</w:t>
            </w:r>
          </w:p>
        </w:tc>
        <w:tc>
          <w:tcPr>
            <w:tcW w:type="dxa" w:w="3360"/>
            <w:vAlign w:val="top"/>
          </w:tcPr>
          <w:p>
            <w:r>
              <w:t>Personal fit</w:t>
            </w:r>
          </w:p>
        </w:tc>
        <w:tc>
          <w:tcPr>
            <w:tcW w:type="dxa" w:w="3360"/>
            <w:vAlign w:val="top"/>
          </w:tcPr>
          <w:p>
            <w:r>
              <w:t>Evaluate product against a member’s selected goals/preferences/constraints.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FR-006</w:t>
            </w:r>
          </w:p>
        </w:tc>
        <w:tc>
          <w:tcPr>
            <w:tcW w:type="dxa" w:w="3360"/>
            <w:vAlign w:val="top"/>
          </w:tcPr>
          <w:p>
            <w:r>
              <w:t>Family comparison</w:t>
            </w:r>
          </w:p>
        </w:tc>
        <w:tc>
          <w:tcPr>
            <w:tcW w:type="dxa" w:w="3360"/>
            <w:vAlign w:val="top"/>
          </w:tcPr>
          <w:p>
            <w:r>
              <w:t>Show fit for each eligible household member in one view.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FR-007</w:t>
            </w:r>
          </w:p>
        </w:tc>
        <w:tc>
          <w:tcPr>
            <w:tcW w:type="dxa" w:w="3360"/>
            <w:vAlign w:val="top"/>
          </w:tcPr>
          <w:p>
            <w:r>
              <w:t>Alternatives</w:t>
            </w:r>
          </w:p>
        </w:tc>
        <w:tc>
          <w:tcPr>
            <w:tcW w:type="dxa" w:w="3360"/>
            <w:vAlign w:val="top"/>
          </w:tcPr>
          <w:p>
            <w:r>
              <w:t>Return comparable products ranked by relevant improvement dimensions.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FR-008</w:t>
            </w:r>
          </w:p>
        </w:tc>
        <w:tc>
          <w:tcPr>
            <w:tcW w:type="dxa" w:w="3360"/>
            <w:vAlign w:val="top"/>
          </w:tcPr>
          <w:p>
            <w:r>
              <w:t>Explainability</w:t>
            </w:r>
          </w:p>
        </w:tc>
        <w:tc>
          <w:tcPr>
            <w:tcW w:type="dxa" w:w="3360"/>
            <w:vAlign w:val="top"/>
          </w:tcPr>
          <w:p>
            <w:r>
              <w:t>Explain the factors behind score/fit using evidence and source data.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FR-009</w:t>
            </w:r>
          </w:p>
        </w:tc>
        <w:tc>
          <w:tcPr>
            <w:tcW w:type="dxa" w:w="3360"/>
            <w:vAlign w:val="top"/>
          </w:tcPr>
          <w:p>
            <w:r>
              <w:t>Family management</w:t>
            </w:r>
          </w:p>
        </w:tc>
        <w:tc>
          <w:tcPr>
            <w:tcW w:type="dxa" w:w="3360"/>
            <w:vAlign w:val="top"/>
          </w:tcPr>
          <w:p>
            <w:r>
              <w:t>Add/remove household members; define roles and permissions.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FR-010</w:t>
            </w:r>
          </w:p>
        </w:tc>
        <w:tc>
          <w:tcPr>
            <w:tcW w:type="dxa" w:w="3360"/>
            <w:vAlign w:val="top"/>
          </w:tcPr>
          <w:p>
            <w:r>
              <w:t>Child profile</w:t>
            </w:r>
          </w:p>
        </w:tc>
        <w:tc>
          <w:tcPr>
            <w:tcW w:type="dxa" w:w="3360"/>
            <w:vAlign w:val="top"/>
          </w:tcPr>
          <w:p>
            <w:r>
              <w:t>Guardian-controlled child profile with consent status, purpose and minimum necessary data.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FR-011</w:t>
            </w:r>
          </w:p>
        </w:tc>
        <w:tc>
          <w:tcPr>
            <w:tcW w:type="dxa" w:w="3360"/>
            <w:vAlign w:val="top"/>
          </w:tcPr>
          <w:p>
            <w:r>
              <w:t>Feedback</w:t>
            </w:r>
          </w:p>
        </w:tc>
        <w:tc>
          <w:tcPr>
            <w:tcW w:type="dxa" w:w="3360"/>
            <w:vAlign w:val="top"/>
          </w:tcPr>
          <w:p>
            <w:r>
              <w:t>Allow users to flag incorrect product data and recommendations.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FR-012</w:t>
            </w:r>
          </w:p>
        </w:tc>
        <w:tc>
          <w:tcPr>
            <w:tcW w:type="dxa" w:w="3360"/>
            <w:vAlign w:val="top"/>
          </w:tcPr>
          <w:p>
            <w:r>
              <w:t>Event capture</w:t>
            </w:r>
          </w:p>
        </w:tc>
        <w:tc>
          <w:tcPr>
            <w:tcW w:type="dxa" w:w="3360"/>
            <w:vAlign w:val="top"/>
          </w:tcPr>
          <w:p>
            <w:r>
              <w:t>Optional “bought” / “consumed” event with minimal confirmation.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FR-013</w:t>
            </w:r>
          </w:p>
        </w:tc>
        <w:tc>
          <w:tcPr>
            <w:tcW w:type="dxa" w:w="3360"/>
            <w:vAlign w:val="top"/>
          </w:tcPr>
          <w:p>
            <w:r>
              <w:t>Versioning</w:t>
            </w:r>
          </w:p>
        </w:tc>
        <w:tc>
          <w:tcPr>
            <w:tcW w:type="dxa" w:w="3360"/>
            <w:vAlign w:val="top"/>
          </w:tcPr>
          <w:p>
            <w:r>
              <w:t>Maintain product formulation/data versions and effective dates.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FR-014</w:t>
            </w:r>
          </w:p>
        </w:tc>
        <w:tc>
          <w:tcPr>
            <w:tcW w:type="dxa" w:w="3360"/>
            <w:vAlign w:val="top"/>
          </w:tcPr>
          <w:p>
            <w:r>
              <w:t>Auditability</w:t>
            </w:r>
          </w:p>
        </w:tc>
        <w:tc>
          <w:tcPr>
            <w:tcW w:type="dxa" w:w="3360"/>
            <w:vAlign w:val="top"/>
          </w:tcPr>
          <w:p>
            <w:r>
              <w:t>Log scoring-rule version and data source used for each verdict.</w:t>
            </w:r>
          </w:p>
        </w:tc>
      </w:tr>
    </w:tbl>
    <w:p>
      <w:pPr>
        <w:pStyle w:val="Heading1"/>
      </w:pPr>
      <w:r>
        <w:t>5. 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Requirement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Target</w:t>
            </w:r>
          </w:p>
        </w:tc>
      </w:tr>
      <w:tr>
        <w:tc>
          <w:tcPr>
            <w:tcW w:type="dxa" w:w="5040"/>
            <w:vAlign w:val="top"/>
          </w:tcPr>
          <w:p>
            <w:r>
              <w:t>Time to useful verdict</w:t>
            </w:r>
          </w:p>
        </w:tc>
        <w:tc>
          <w:tcPr>
            <w:tcW w:type="dxa" w:w="5040"/>
            <w:vAlign w:val="top"/>
          </w:tcPr>
          <w:p>
            <w:r>
              <w:t>≤ 10 seconds from successful lookup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question</w:t>
            </w:r>
          </w:p>
        </w:tc>
        <w:tc>
          <w:tcPr>
            <w:tcW w:type="dxa" w:w="5040"/>
            <w:vAlign w:val="top"/>
          </w:tcPr>
          <w:p>
            <w:r>
              <w:t>“Is this a good choice for me/my family?”</w:t>
            </w:r>
          </w:p>
        </w:tc>
      </w:tr>
      <w:tr>
        <w:tc>
          <w:tcPr>
            <w:tcW w:type="dxa" w:w="5040"/>
            <w:vAlign w:val="top"/>
          </w:tcPr>
          <w:p>
            <w:r>
              <w:t>Result hierarchy</w:t>
            </w:r>
          </w:p>
        </w:tc>
        <w:tc>
          <w:tcPr>
            <w:tcW w:type="dxa" w:w="5040"/>
            <w:vAlign w:val="top"/>
          </w:tcPr>
          <w:p>
            <w:r>
              <w:t>Verdict → Why → Family fit → Alternatives → Details</w:t>
            </w:r>
          </w:p>
        </w:tc>
      </w:tr>
      <w:tr>
        <w:tc>
          <w:tcPr>
            <w:tcW w:type="dxa" w:w="5040"/>
            <w:vAlign w:val="top"/>
          </w:tcPr>
          <w:p>
            <w:r>
              <w:t>Scan failure</w:t>
            </w:r>
          </w:p>
        </w:tc>
        <w:tc>
          <w:tcPr>
            <w:tcW w:type="dxa" w:w="5040"/>
            <w:vAlign w:val="top"/>
          </w:tcPr>
          <w:p>
            <w:r>
              <w:t>Never dead-end; offer OCR/manual search</w:t>
            </w:r>
          </w:p>
        </w:tc>
      </w:tr>
      <w:tr>
        <w:tc>
          <w:tcPr>
            <w:tcW w:type="dxa" w:w="5040"/>
            <w:vAlign w:val="top"/>
          </w:tcPr>
          <w:p>
            <w:r>
              <w:t>Accessibility</w:t>
            </w:r>
          </w:p>
        </w:tc>
        <w:tc>
          <w:tcPr>
            <w:tcW w:type="dxa" w:w="5040"/>
            <w:vAlign w:val="top"/>
          </w:tcPr>
          <w:p>
            <w:r>
              <w:t>Readable typography, plain language, screen-reader-friendly semantics</w:t>
            </w:r>
          </w:p>
        </w:tc>
      </w:tr>
      <w:tr>
        <w:tc>
          <w:tcPr>
            <w:tcW w:type="dxa" w:w="5040"/>
            <w:vAlign w:val="top"/>
          </w:tcPr>
          <w:p>
            <w:r>
              <w:t>Localization</w:t>
            </w:r>
          </w:p>
        </w:tc>
        <w:tc>
          <w:tcPr>
            <w:tcW w:type="dxa" w:w="5040"/>
            <w:vAlign w:val="top"/>
          </w:tcPr>
          <w:p>
            <w:r>
              <w:t>English first; architecture ready for Indian regional languages</w:t>
            </w:r>
          </w:p>
        </w:tc>
      </w:tr>
    </w:tbl>
    <w:p>
      <w:pPr>
        <w:pStyle w:val="Heading1"/>
      </w:pPr>
      <w:r>
        <w:t>6. Non-functional requirements</w:t>
      </w:r>
    </w:p>
    <w:p>
      <w:pPr>
        <w:pStyle w:val="ListBullet"/>
      </w:pPr>
      <w:r>
        <w:t>Availability target: 99.5% for MVP APIs.</w:t>
      </w:r>
    </w:p>
    <w:p>
      <w:pPr>
        <w:pStyle w:val="ListBullet"/>
      </w:pPr>
      <w:r>
        <w:t>Product lookup p95 ≤ 2 seconds excluding OCR processing.</w:t>
      </w:r>
    </w:p>
    <w:p>
      <w:pPr>
        <w:pStyle w:val="ListBullet"/>
      </w:pPr>
      <w:r>
        <w:t>OCR result p95 ≤ 8 seconds; low-confidence extraction must require confirmation.</w:t>
      </w:r>
    </w:p>
    <w:p>
      <w:pPr>
        <w:pStyle w:val="ListBullet"/>
      </w:pPr>
      <w:r>
        <w:t>Encrypt data in transit and at rest.</w:t>
      </w:r>
    </w:p>
    <w:p>
      <w:pPr>
        <w:pStyle w:val="ListBullet"/>
      </w:pPr>
      <w:r>
        <w:t>Role-based access control for household members.</w:t>
      </w:r>
    </w:p>
    <w:p>
      <w:pPr>
        <w:pStyle w:val="ListBullet"/>
      </w:pPr>
      <w:r>
        <w:t>Immutable audit log for consent changes, scoring-rule versions and key data updates.</w:t>
      </w:r>
    </w:p>
    <w:p>
      <w:pPr>
        <w:pStyle w:val="ListBullet"/>
      </w:pPr>
      <w:r>
        <w:t>Ability to delete/export user data subject to legal/operational requirements.</w:t>
      </w:r>
    </w:p>
    <w:p>
      <w:pPr>
        <w:pStyle w:val="ListBullet"/>
      </w:pPr>
      <w:r>
        <w:t>Observability for lookup failures, OCR errors, recommendation latency and user-reported inaccuracies.</w:t>
      </w:r>
    </w:p>
    <w:p>
      <w:pPr>
        <w:pStyle w:val="Heading1"/>
      </w:pPr>
      <w:r>
        <w:t>7. Acceptance criteria —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Scenario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Expected result</w:t>
            </w:r>
          </w:p>
        </w:tc>
      </w:tr>
      <w:tr>
        <w:tc>
          <w:tcPr>
            <w:tcW w:type="dxa" w:w="5040"/>
            <w:vAlign w:val="top"/>
          </w:tcPr>
          <w:p>
            <w:r>
              <w:t>Known barcode</w:t>
            </w:r>
          </w:p>
        </w:tc>
        <w:tc>
          <w:tcPr>
            <w:tcW w:type="dxa" w:w="5040"/>
            <w:vAlign w:val="top"/>
          </w:tcPr>
          <w:p>
            <w:r>
              <w:t>Product loads with source, version date, score and fit</w:t>
            </w:r>
          </w:p>
        </w:tc>
      </w:tr>
      <w:tr>
        <w:tc>
          <w:tcPr>
            <w:tcW w:type="dxa" w:w="5040"/>
            <w:vAlign w:val="top"/>
          </w:tcPr>
          <w:p>
            <w:r>
              <w:t>Unknown barcode</w:t>
            </w:r>
          </w:p>
        </w:tc>
        <w:tc>
          <w:tcPr>
            <w:tcW w:type="dxa" w:w="5040"/>
            <w:vAlign w:val="top"/>
          </w:tcPr>
          <w:p>
            <w:r>
              <w:t>User can scan label and create/submit product data</w:t>
            </w:r>
          </w:p>
        </w:tc>
      </w:tr>
      <w:tr>
        <w:tc>
          <w:tcPr>
            <w:tcW w:type="dxa" w:w="5040"/>
            <w:vAlign w:val="top"/>
          </w:tcPr>
          <w:p>
            <w:r>
              <w:t>Different family constraints</w:t>
            </w:r>
          </w:p>
        </w:tc>
        <w:tc>
          <w:tcPr>
            <w:tcW w:type="dxa" w:w="5040"/>
            <w:vAlign w:val="top"/>
          </w:tcPr>
          <w:p>
            <w:r>
              <w:t>Same product shows distinct fit results where rules differ</w:t>
            </w:r>
          </w:p>
        </w:tc>
      </w:tr>
      <w:tr>
        <w:tc>
          <w:tcPr>
            <w:tcW w:type="dxa" w:w="5040"/>
            <w:vAlign w:val="top"/>
          </w:tcPr>
          <w:p>
            <w:r>
              <w:t>Allergen conflict</w:t>
            </w:r>
          </w:p>
        </w:tc>
        <w:tc>
          <w:tcPr>
            <w:tcW w:type="dxa" w:w="5040"/>
            <w:vAlign w:val="top"/>
          </w:tcPr>
          <w:p>
            <w:r>
              <w:t>Clear safety-oriented warning based on verified allergen data</w:t>
            </w:r>
          </w:p>
        </w:tc>
      </w:tr>
      <w:tr>
        <w:tc>
          <w:tcPr>
            <w:tcW w:type="dxa" w:w="5040"/>
            <w:vAlign w:val="top"/>
          </w:tcPr>
          <w:p>
            <w:r>
              <w:t>Low OCR confidence</w:t>
            </w:r>
          </w:p>
        </w:tc>
        <w:tc>
          <w:tcPr>
            <w:tcW w:type="dxa" w:w="5040"/>
            <w:vAlign w:val="top"/>
          </w:tcPr>
          <w:p>
            <w:r>
              <w:t>User is asked to confirm extracted field</w:t>
            </w:r>
          </w:p>
        </w:tc>
      </w:tr>
      <w:tr>
        <w:tc>
          <w:tcPr>
            <w:tcW w:type="dxa" w:w="5040"/>
            <w:vAlign w:val="top"/>
          </w:tcPr>
          <w:p>
            <w:r>
              <w:t>Rule update</w:t>
            </w:r>
          </w:p>
        </w:tc>
        <w:tc>
          <w:tcPr>
            <w:tcW w:type="dxa" w:w="5040"/>
            <w:vAlign w:val="top"/>
          </w:tcPr>
          <w:p>
            <w:r>
              <w:t>New rule version is traceable; prior verdicts remain auditable</w:t>
            </w:r>
          </w:p>
        </w:tc>
      </w:tr>
      <w:tr>
        <w:tc>
          <w:tcPr>
            <w:tcW w:type="dxa" w:w="5040"/>
            <w:vAlign w:val="top"/>
          </w:tcPr>
          <w:p>
            <w:r>
              <w:t>Child profile</w:t>
            </w:r>
          </w:p>
        </w:tc>
        <w:tc>
          <w:tcPr>
            <w:tcW w:type="dxa" w:w="5040"/>
            <w:vAlign w:val="top"/>
          </w:tcPr>
          <w:p>
            <w:r>
              <w:t>No child-data processing before guardian consent state is satisfied</w:t>
            </w:r>
          </w:p>
        </w:tc>
      </w:tr>
    </w:tbl>
    <w:p>
      <w:pPr>
        <w:pStyle w:val="Heading1"/>
      </w:pPr>
      <w:r>
        <w:t>8. Out of scope</w:t>
      </w:r>
    </w:p>
    <w:p>
      <w:pPr>
        <w:pStyle w:val="ListBullet"/>
      </w:pPr>
      <w:r>
        <w:t>Diagnosis, treatment, prescription, medical triage.</w:t>
      </w:r>
    </w:p>
    <w:p>
      <w:pPr>
        <w:pStyle w:val="ListBullet"/>
      </w:pPr>
      <w:r>
        <w:t>Automatic child behavioural tracking.</w:t>
      </w:r>
    </w:p>
    <w:p>
      <w:pPr>
        <w:pStyle w:val="ListBullet"/>
      </w:pPr>
      <w:r>
        <w:t>Weight-loss targets for children.</w:t>
      </w:r>
    </w:p>
    <w:p>
      <w:pPr>
        <w:pStyle w:val="ListBullet"/>
      </w:pPr>
      <w:r>
        <w:t>Advertising to children.</w:t>
      </w:r>
    </w:p>
    <w:p>
      <w:pPr>
        <w:pStyle w:val="ListBullet"/>
      </w:pPr>
      <w:r>
        <w:t>Marketplace/checkout in MVP.</w:t>
      </w:r>
    </w:p>
    <w:p>
      <w:pPr>
        <w:pStyle w:val="ListBullet"/>
      </w:pPr>
      <w:r>
        <w:t>Full meal planner and recipe engine.</w:t>
      </w:r>
    </w:p>
    <w:p>
      <w:pPr>
        <w:pStyle w:val="ListBullet"/>
      </w:pPr>
      <w:r>
        <w:t>Wearables and lab integrations.</w:t>
      </w:r>
    </w:p>
    <w:p>
      <w:pPr>
        <w:pStyle w:val="Heading1"/>
      </w:pPr>
      <w:r>
        <w:t>Research sources</w:t>
      </w:r>
    </w:p>
    <w:p>
      <w:r>
        <w:t>The following sources underpin market, regulatory and product assumptions. Claims should be re-checked at release because regulations, competitor features and product data can change.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 xml:space="preserve">National prevalence of diabetes, prediabetes, hypertension, obesity and dyslipidaemia in India.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S2 — MoSPI Household Consumption Expenditure Survey 2023-24. </w:t>
      </w:r>
      <w:r>
        <w:t xml:space="preserve">Official household consumption/expenditure survey and household-level consumption context.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S3 — FSSAI / Supreme Court order, 10 Feb 2026. </w:t>
      </w:r>
      <w:r>
        <w:t xml:space="preserve">Indian Nutrition Rating and front-of-pack nutrition labelling context.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S4 — MeitY Digital Personal Data Protection Act 2023. </w:t>
      </w:r>
      <w:r>
        <w:t xml:space="preserve">Child personal data, verifiable parental consent, restrictions on tracking/behavioural monitoring.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S5 — MeitY Digital Personal Data Protection Rules 2025. </w:t>
      </w:r>
      <w:r>
        <w:t xml:space="preserve">Current DPDP Rules and implementation context, including verifiable consent mechanisms.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S6 — JMIR 2024 scoping review of health-app discontinuation. </w:t>
      </w:r>
      <w:r>
        <w:t xml:space="preserve">Evidence on health/diet app abandonment and sustained tracking challenges.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S7 — Yuka – press / social impact. </w:t>
      </w:r>
      <w:r>
        <w:t xml:space="preserve">Scale, product model, independence/trust positioning.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S8 — Open Food Facts – India milestone. </w:t>
      </w:r>
      <w:r>
        <w:t xml:space="preserve">Illustrates current crowd-sourced Indian packaged-food database scale.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S9 — HealthifyMe. </w:t>
      </w:r>
      <w:r>
        <w:t xml:space="preserve">Indian food/AI tracking and consumer-health positioning.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S10 — GS1 India Smart Consumer. </w:t>
      </w:r>
      <w:r>
        <w:t xml:space="preserve">Product/consumer information infrastructure in India.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S11 — WHO India / ICRIER – Growth of Ultra-Processed Foods in India (2023). </w:t>
      </w:r>
      <w:r>
        <w:t xml:space="preserve">Growth of India’s UPF retail sector and category context.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 xml:space="preserve">Indian dietary guidance including added-sugar and balanced-diet context. </w:t>
      </w:r>
      <w:hyperlink r:id="rId20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3-8587(23)00119-5" TargetMode="External"/><Relationship Id="rId10" Type="http://schemas.openxmlformats.org/officeDocument/2006/relationships/hyperlink" Target="https://www.mospi.gov.in/sites/default/files/publication_reports/HCES%20FactSheet%202023-24.pdf" TargetMode="External"/><Relationship Id="rId11" Type="http://schemas.openxmlformats.org/officeDocument/2006/relationships/hyperlink" Target="https://api.sci.gov.in/supremecourt/2025/35988/35988_2025_6_12_68509_Order_10-Feb-2026.pdf" TargetMode="External"/><Relationship Id="rId12" Type="http://schemas.openxmlformats.org/officeDocument/2006/relationships/hyperlink" Target="https://www.meity.gov.in/static/uploads/2024/02/Digital-Personal-Data-Protection-Act-2023.pdf" TargetMode="External"/><Relationship Id="rId13" Type="http://schemas.openxmlformats.org/officeDocument/2006/relationships/hyperlink" Target="https://www.meity.gov.in/documents/act-and-policies/digital-personal-data-protection-rules-2025" TargetMode="External"/><Relationship Id="rId14" Type="http://schemas.openxmlformats.org/officeDocument/2006/relationships/hyperlink" Target="https://www.jmir.org/2024/1/e56897" TargetMode="External"/><Relationship Id="rId15" Type="http://schemas.openxmlformats.org/officeDocument/2006/relationships/hyperlink" Target="https://yuka.io/en/press/" TargetMode="External"/><Relationship Id="rId16" Type="http://schemas.openxmlformats.org/officeDocument/2006/relationships/hyperlink" Target="https://blog.openfoodfacts.org/en/news/open-food-facts-india-database-reaches-10k-product-milestone" TargetMode="External"/><Relationship Id="rId17" Type="http://schemas.openxmlformats.org/officeDocument/2006/relationships/hyperlink" Target="https://www.healthifyme.com/" TargetMode="External"/><Relationship Id="rId18" Type="http://schemas.openxmlformats.org/officeDocument/2006/relationships/hyperlink" Target="https://www.gs1india.org/services/smart-consumer" TargetMode="External"/><Relationship Id="rId19" Type="http://schemas.openxmlformats.org/officeDocument/2006/relationships/hyperlink" Target="https://www.icrier.org/pdf/UPF_Report_2023.pdf" TargetMode="External"/><Relationship Id="rId20" Type="http://schemas.openxmlformats.org/officeDocument/2006/relationships/hyperlink" Target="https://www.nin.res.in/downloads/DietaryGuidelinesforNINwebsi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