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MVP Scope, Release Plan &amp; Roadmap</w:t>
      </w:r>
    </w:p>
    <w:p>
      <w:pPr>
        <w:jc w:val="center"/>
      </w:pPr>
      <w:r>
        <w:rPr>
          <w:i/>
          <w:sz w:val="24"/>
        </w:rPr>
        <w:t>What to build now, later, and never without evidence</w:t>
      </w:r>
    </w:p>
    <w:p>
      <w:pPr>
        <w:jc w:val="center"/>
      </w:pPr>
      <w:r>
        <w:rPr>
          <w:sz w:val="18"/>
        </w:rPr>
        <w:t>v0.1 | 05 Sep 2026</w:t>
      </w:r>
    </w:p>
    <w:p/>
    <w:p>
      <w:pPr>
        <w:pStyle w:val="Heading1"/>
      </w:pPr>
      <w:r>
        <w:t>MVP definition</w:t>
      </w:r>
    </w:p>
    <w:p>
      <w:r>
        <w:t>The MVP is a decision utility, not a full health OS. It must prove that real households use food analysis to make better purchase decisions and that a segment/payer values the outcome.</w:t>
      </w:r>
    </w:p>
    <w:p>
      <w:pPr>
        <w:pStyle w:val="Heading1"/>
      </w:pPr>
      <w:r>
        <w:t>Must have — Release 0.1</w:t>
      </w:r>
    </w:p>
    <w:p>
      <w:pPr>
        <w:pStyle w:val="ListBullet"/>
      </w:pPr>
      <w:r>
        <w:t>Product search</w:t>
      </w:r>
    </w:p>
    <w:p>
      <w:pPr>
        <w:pStyle w:val="ListBullet"/>
      </w:pPr>
      <w:r>
        <w:t>Barcode scan</w:t>
      </w:r>
    </w:p>
    <w:p>
      <w:pPr>
        <w:pStyle w:val="ListBullet"/>
      </w:pPr>
      <w:r>
        <w:t>Label OCR fallback</w:t>
      </w:r>
    </w:p>
    <w:p>
      <w:pPr>
        <w:pStyle w:val="ListBullet"/>
      </w:pPr>
      <w:r>
        <w:t>Core nutrition facts</w:t>
      </w:r>
    </w:p>
    <w:p>
      <w:pPr>
        <w:pStyle w:val="ListBullet"/>
      </w:pPr>
      <w:r>
        <w:t>Ingredient/allergen extraction</w:t>
      </w:r>
    </w:p>
    <w:p>
      <w:pPr>
        <w:pStyle w:val="ListBullet"/>
      </w:pPr>
      <w:r>
        <w:t>Transparent product score (versioned)</w:t>
      </w:r>
    </w:p>
    <w:p>
      <w:pPr>
        <w:pStyle w:val="ListBullet"/>
      </w:pPr>
      <w:r>
        <w:t>Adult profile</w:t>
      </w:r>
    </w:p>
    <w:p>
      <w:pPr>
        <w:pStyle w:val="ListBullet"/>
      </w:pPr>
      <w:r>
        <w:t>Parent-controlled child profile design/consent shell</w:t>
      </w:r>
    </w:p>
    <w:p>
      <w:pPr>
        <w:pStyle w:val="ListBullet"/>
      </w:pPr>
      <w:r>
        <w:t>Personal/family fit</w:t>
      </w:r>
    </w:p>
    <w:p>
      <w:pPr>
        <w:pStyle w:val="ListBullet"/>
      </w:pPr>
      <w:r>
        <w:t>Alternative comparison</w:t>
      </w:r>
    </w:p>
    <w:p>
      <w:pPr>
        <w:pStyle w:val="ListBullet"/>
      </w:pPr>
      <w:r>
        <w:t>Source/evidence display</w:t>
      </w:r>
    </w:p>
    <w:p>
      <w:pPr>
        <w:pStyle w:val="ListBullet"/>
      </w:pPr>
      <w:r>
        <w:t>User data correction feedback</w:t>
      </w:r>
    </w:p>
    <w:p>
      <w:pPr>
        <w:pStyle w:val="Heading1"/>
      </w:pPr>
      <w:r>
        <w:t>Should have — Release 0.2</w:t>
      </w:r>
    </w:p>
    <w:p>
      <w:pPr>
        <w:pStyle w:val="ListBullet"/>
      </w:pPr>
      <w:r>
        <w:t>Basket analysis</w:t>
      </w:r>
    </w:p>
    <w:p>
      <w:pPr>
        <w:pStyle w:val="ListBullet"/>
      </w:pPr>
      <w:r>
        <w:t>Receipt upload</w:t>
      </w:r>
    </w:p>
    <w:p>
      <w:pPr>
        <w:pStyle w:val="ListBullet"/>
      </w:pPr>
      <w:r>
        <w:t>Optional purchase event</w:t>
      </w:r>
    </w:p>
    <w:p>
      <w:pPr>
        <w:pStyle w:val="ListBullet"/>
      </w:pPr>
      <w:r>
        <w:t>Saved products</w:t>
      </w:r>
    </w:p>
    <w:p>
      <w:pPr>
        <w:pStyle w:val="ListBullet"/>
      </w:pPr>
      <w:r>
        <w:t>Recent scans</w:t>
      </w:r>
    </w:p>
    <w:p>
      <w:pPr>
        <w:pStyle w:val="ListBullet"/>
      </w:pPr>
      <w:r>
        <w:t>Regional language support</w:t>
      </w:r>
    </w:p>
    <w:p>
      <w:pPr>
        <w:pStyle w:val="ListBullet"/>
      </w:pPr>
      <w:r>
        <w:t>Product formulation change notifications</w:t>
      </w:r>
    </w:p>
    <w:p>
      <w:pPr>
        <w:pStyle w:val="ListBullet"/>
      </w:pPr>
      <w:r>
        <w:t>Simple weekly packaged-food insights</w:t>
      </w:r>
    </w:p>
    <w:p>
      <w:pPr>
        <w:pStyle w:val="Heading1"/>
      </w:pPr>
      <w:r>
        <w:t>Later — Release 1+</w:t>
      </w:r>
    </w:p>
    <w:p>
      <w:pPr>
        <w:pStyle w:val="ListBullet"/>
      </w:pPr>
      <w:r>
        <w:t>Legitimate order-history integrations</w:t>
      </w:r>
    </w:p>
    <w:p>
      <w:pPr>
        <w:pStyle w:val="ListBullet"/>
      </w:pPr>
      <w:r>
        <w:t>Low-friction meal capture by voice/photo</w:t>
      </w:r>
    </w:p>
    <w:p>
      <w:pPr>
        <w:pStyle w:val="ListBullet"/>
      </w:pPr>
      <w:r>
        <w:t>Indian recipe intelligence</w:t>
      </w:r>
    </w:p>
    <w:p>
      <w:pPr>
        <w:pStyle w:val="ListBullet"/>
      </w:pPr>
      <w:r>
        <w:t>Household nutrition trends</w:t>
      </w:r>
    </w:p>
    <w:p>
      <w:pPr>
        <w:pStyle w:val="ListBullet"/>
      </w:pPr>
      <w:r>
        <w:t>B2B2C dashboards</w:t>
      </w:r>
    </w:p>
    <w:p>
      <w:pPr>
        <w:pStyle w:val="ListBullet"/>
      </w:pPr>
      <w:r>
        <w:t>Clinical/diagnostic integrations where legally appropriate</w:t>
      </w:r>
    </w:p>
    <w:p>
      <w:pPr>
        <w:pStyle w:val="ListBullet"/>
      </w:pPr>
      <w:r>
        <w:t>Commerce deep links</w:t>
      </w:r>
    </w:p>
    <w:p>
      <w:pPr>
        <w:pStyle w:val="Heading1"/>
      </w:pPr>
      <w:r>
        <w:t>Do not build until validated</w:t>
      </w:r>
    </w:p>
    <w:p>
      <w:pPr>
        <w:pStyle w:val="ListBullet"/>
      </w:pPr>
      <w:r>
        <w:t>Full calorie diary</w:t>
      </w:r>
    </w:p>
    <w:p>
      <w:pPr>
        <w:pStyle w:val="ListBullet"/>
      </w:pPr>
      <w:r>
        <w:t>Exercise/wearables suite</w:t>
      </w:r>
    </w:p>
    <w:p>
      <w:pPr>
        <w:pStyle w:val="ListBullet"/>
      </w:pPr>
      <w:r>
        <w:t>Social network</w:t>
      </w:r>
    </w:p>
    <w:p>
      <w:pPr>
        <w:pStyle w:val="ListBullet"/>
      </w:pPr>
      <w:r>
        <w:t>Doctor marketplace</w:t>
      </w:r>
    </w:p>
    <w:p>
      <w:pPr>
        <w:pStyle w:val="ListBullet"/>
      </w:pPr>
      <w:r>
        <w:t>Insurance claims workflows</w:t>
      </w:r>
    </w:p>
    <w:p>
      <w:pPr>
        <w:pStyle w:val="ListBullet"/>
      </w:pPr>
      <w:r>
        <w:t>Retail media / sponsored ranking</w:t>
      </w:r>
    </w:p>
    <w:p>
      <w:pPr>
        <w:pStyle w:val="ListBullet"/>
      </w:pPr>
      <w:r>
        <w:t>Broad “all diseases” personalization</w:t>
      </w:r>
    </w:p>
    <w:p>
      <w:pPr>
        <w:pStyle w:val="ListBullet"/>
      </w:pPr>
      <w:r>
        <w:t>Child engagement/gamification</w:t>
      </w:r>
    </w:p>
    <w:p>
      <w:pPr>
        <w:pStyle w:val="Heading1"/>
      </w:pPr>
      <w:r>
        <w:t>Phased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t>Phase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Duration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Goal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Gate</w:t>
            </w:r>
          </w:p>
        </w:tc>
      </w:tr>
      <w:tr>
        <w:tc>
          <w:tcPr>
            <w:tcW w:type="dxa" w:w="2520"/>
            <w:vAlign w:val="top"/>
          </w:tcPr>
          <w:p>
            <w:r>
              <w:t>0</w:t>
            </w:r>
          </w:p>
        </w:tc>
        <w:tc>
          <w:tcPr>
            <w:tcW w:type="dxa" w:w="2520"/>
            <w:vAlign w:val="top"/>
          </w:tcPr>
          <w:p>
            <w:r>
              <w:t>0–4 weeks</w:t>
            </w:r>
          </w:p>
        </w:tc>
        <w:tc>
          <w:tcPr>
            <w:tcW w:type="dxa" w:w="2520"/>
            <w:vAlign w:val="top"/>
          </w:tcPr>
          <w:p>
            <w:r>
              <w:t>Prototype decision engine + 100–300 products</w:t>
            </w:r>
          </w:p>
        </w:tc>
        <w:tc>
          <w:tcPr>
            <w:tcW w:type="dxa" w:w="2520"/>
            <w:vAlign w:val="top"/>
          </w:tcPr>
          <w:p>
            <w:r>
              <w:t>Users reach verdict and understand why</w:t>
            </w:r>
          </w:p>
        </w:tc>
      </w:tr>
      <w:tr>
        <w:tc>
          <w:tcPr>
            <w:tcW w:type="dxa" w:w="2520"/>
            <w:vAlign w:val="top"/>
          </w:tcPr>
          <w:p>
            <w:r>
              <w:t>1</w:t>
            </w:r>
          </w:p>
        </w:tc>
        <w:tc>
          <w:tcPr>
            <w:tcW w:type="dxa" w:w="2520"/>
            <w:vAlign w:val="top"/>
          </w:tcPr>
          <w:p>
            <w:r>
              <w:t>1–3 months</w:t>
            </w:r>
          </w:p>
        </w:tc>
        <w:tc>
          <w:tcPr>
            <w:tcW w:type="dxa" w:w="2520"/>
            <w:vAlign w:val="top"/>
          </w:tcPr>
          <w:p>
            <w:r>
              <w:t>Real MVP + targeted household pilots</w:t>
            </w:r>
          </w:p>
        </w:tc>
        <w:tc>
          <w:tcPr>
            <w:tcW w:type="dxa" w:w="2520"/>
            <w:vAlign w:val="top"/>
          </w:tcPr>
          <w:p>
            <w:r>
              <w:t>Repeat use + purchase substitutions</w:t>
            </w:r>
          </w:p>
        </w:tc>
      </w:tr>
      <w:tr>
        <w:tc>
          <w:tcPr>
            <w:tcW w:type="dxa" w:w="2520"/>
            <w:vAlign w:val="top"/>
          </w:tcPr>
          <w:p>
            <w:r>
              <w:t>2</w:t>
            </w:r>
          </w:p>
        </w:tc>
        <w:tc>
          <w:tcPr>
            <w:tcW w:type="dxa" w:w="2520"/>
            <w:vAlign w:val="top"/>
          </w:tcPr>
          <w:p>
            <w:r>
              <w:t>3–6 months</w:t>
            </w:r>
          </w:p>
        </w:tc>
        <w:tc>
          <w:tcPr>
            <w:tcW w:type="dxa" w:w="2520"/>
            <w:vAlign w:val="top"/>
          </w:tcPr>
          <w:p>
            <w:r>
              <w:t>5K-ish priority SKU catalog + data ops</w:t>
            </w:r>
          </w:p>
        </w:tc>
        <w:tc>
          <w:tcPr>
            <w:tcW w:type="dxa" w:w="2520"/>
            <w:vAlign w:val="top"/>
          </w:tcPr>
          <w:p>
            <w:r>
              <w:t>Coverage + accuracy + retention</w:t>
            </w:r>
          </w:p>
        </w:tc>
      </w:tr>
      <w:tr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3–9 months</w:t>
            </w:r>
          </w:p>
        </w:tc>
        <w:tc>
          <w:tcPr>
            <w:tcW w:type="dxa" w:w="2520"/>
            <w:vAlign w:val="top"/>
          </w:tcPr>
          <w:p>
            <w:r>
              <w:t>B2B2C pilot + basket/receipt</w:t>
            </w:r>
          </w:p>
        </w:tc>
        <w:tc>
          <w:tcPr>
            <w:tcW w:type="dxa" w:w="2520"/>
            <w:vAlign w:val="top"/>
          </w:tcPr>
          <w:p>
            <w:r>
              <w:t>Payer willingness</w:t>
            </w:r>
          </w:p>
        </w:tc>
      </w:tr>
      <w:tr>
        <w:tc>
          <w:tcPr>
            <w:tcW w:type="dxa" w:w="2520"/>
            <w:vAlign w:val="top"/>
          </w:tcPr>
          <w:p>
            <w:r>
              <w:t>4</w:t>
            </w:r>
          </w:p>
        </w:tc>
        <w:tc>
          <w:tcPr>
            <w:tcW w:type="dxa" w:w="2520"/>
            <w:vAlign w:val="top"/>
          </w:tcPr>
          <w:p>
            <w:r>
              <w:t>9–18 months</w:t>
            </w:r>
          </w:p>
        </w:tc>
        <w:tc>
          <w:tcPr>
            <w:tcW w:type="dxa" w:w="2520"/>
            <w:vAlign w:val="top"/>
          </w:tcPr>
          <w:p>
            <w:r>
              <w:t>Household intelligence</w:t>
            </w:r>
          </w:p>
        </w:tc>
        <w:tc>
          <w:tcPr>
            <w:tcW w:type="dxa" w:w="2520"/>
            <w:vAlign w:val="top"/>
          </w:tcPr>
          <w:p>
            <w:r>
              <w:t>Retention + measurable household behavior change</w:t>
            </w:r>
          </w:p>
        </w:tc>
      </w:tr>
    </w:tbl>
    <w:p>
      <w:pPr>
        <w:pStyle w:val="Heading1"/>
      </w:pPr>
      <w:r>
        <w:t>Pilot cohorts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Cohort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Why test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Special note</w:t>
            </w:r>
          </w:p>
        </w:tc>
      </w:tr>
      <w:tr>
        <w:tc>
          <w:tcPr>
            <w:tcW w:type="dxa" w:w="3360"/>
            <w:vAlign w:val="top"/>
          </w:tcPr>
          <w:p>
            <w:r>
              <w:t>Adults with metabolic-health goals</w:t>
            </w:r>
          </w:p>
        </w:tc>
        <w:tc>
          <w:tcPr>
            <w:tcW w:type="dxa" w:w="3360"/>
            <w:vAlign w:val="top"/>
          </w:tcPr>
          <w:p>
            <w:r>
              <w:t>High motivation / clear food decision need</w:t>
            </w:r>
          </w:p>
        </w:tc>
        <w:tc>
          <w:tcPr>
            <w:tcW w:type="dxa" w:w="3360"/>
            <w:vAlign w:val="top"/>
          </w:tcPr>
          <w:p>
            <w:r>
              <w:t>Avoid disease-treatment framing</w:t>
            </w:r>
          </w:p>
        </w:tc>
      </w:tr>
      <w:tr>
        <w:tc>
          <w:tcPr>
            <w:tcW w:type="dxa" w:w="3360"/>
            <w:vAlign w:val="top"/>
          </w:tcPr>
          <w:p>
            <w:r>
              <w:t>Parents/guardians</w:t>
            </w:r>
          </w:p>
        </w:tc>
        <w:tc>
          <w:tcPr>
            <w:tcW w:type="dxa" w:w="3360"/>
            <w:vAlign w:val="top"/>
          </w:tcPr>
          <w:p>
            <w:r>
              <w:t>High purchase frequency and strong motivation</w:t>
            </w:r>
          </w:p>
        </w:tc>
        <w:tc>
          <w:tcPr>
            <w:tcW w:type="dxa" w:w="3360"/>
            <w:vAlign w:val="top"/>
          </w:tcPr>
          <w:p>
            <w:r>
              <w:t>Child profiles require full DPDP design</w:t>
            </w:r>
          </w:p>
        </w:tc>
      </w:tr>
      <w:tr>
        <w:tc>
          <w:tcPr>
            <w:tcW w:type="dxa" w:w="3360"/>
            <w:vAlign w:val="top"/>
          </w:tcPr>
          <w:p>
            <w:r>
              <w:t>General households</w:t>
            </w:r>
          </w:p>
        </w:tc>
        <w:tc>
          <w:tcPr>
            <w:tcW w:type="dxa" w:w="3360"/>
            <w:vAlign w:val="top"/>
          </w:tcPr>
          <w:p>
            <w:r>
              <w:t>Tests mass-market utility</w:t>
            </w:r>
          </w:p>
        </w:tc>
        <w:tc>
          <w:tcPr>
            <w:tcW w:type="dxa" w:w="3360"/>
            <w:vAlign w:val="top"/>
          </w:tcPr>
          <w:p>
            <w:r>
              <w:t>Likely lower willingness-to-pay</w:t>
            </w:r>
          </w:p>
        </w:tc>
      </w:tr>
    </w:tbl>
    <w:p>
      <w:pPr>
        <w:pStyle w:val="Heading1"/>
      </w:pPr>
      <w:r>
        <w:t>Decision gates</w:t>
      </w:r>
    </w:p>
    <w:p>
      <w:pPr>
        <w:pStyle w:val="ListBullet"/>
      </w:pPr>
      <w:r>
        <w:t>Gate A: at least 60% of real pilot items successfully analyzed or safely recoverable via OCR/manual entry.</w:t>
      </w:r>
    </w:p>
    <w:p>
      <w:pPr>
        <w:pStyle w:val="ListBullet"/>
      </w:pPr>
      <w:r>
        <w:t>Gate B: users accept a meaningful share of recommended substitutions.</w:t>
      </w:r>
    </w:p>
    <w:p>
      <w:pPr>
        <w:pStyle w:val="ListBullet"/>
      </w:pPr>
      <w:r>
        <w:t>Gate C: repeat use persists beyond initial novelty.</w:t>
      </w:r>
    </w:p>
    <w:p>
      <w:pPr>
        <w:pStyle w:val="ListBullet"/>
      </w:pPr>
      <w:r>
        <w:t>Gate D: at least one payer shows willingness to run a paid pilot.</w:t>
      </w:r>
    </w:p>
    <w:p>
      <w:pPr>
        <w:pStyle w:val="ListBullet"/>
      </w:pPr>
      <w:r>
        <w:t>Gate E: data operations cost per active SKU is compatible with chosen business model.</w:t>
      </w:r>
    </w:p>
    <w:p>
      <w:pPr>
        <w:pStyle w:val="Heading1"/>
      </w:pPr>
      <w:r>
        <w:t>Research sources</w:t>
      </w:r>
    </w:p>
    <w:p>
      <w:r>
        <w:t>The following sources underpin market, regulatory and product assumptions. Claims should be re-checked at release because regulations, competitor features and product data can change.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 xml:space="preserve">National prevalence of diabetes, prediabetes, hypertension, obesity and dyslipidaemia in India. </w:t>
      </w:r>
      <w:hyperlink r:id="rId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S2 — MoSPI Household Consumption Expenditure Survey 2023-24. </w:t>
      </w:r>
      <w:r>
        <w:t xml:space="preserve">Official household consumption/expenditure survey and household-level consumption context. </w:t>
      </w:r>
      <w:hyperlink r:id="rId10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S3 — FSSAI / Supreme Court order, 10 Feb 2026. </w:t>
      </w:r>
      <w:r>
        <w:t xml:space="preserve">Indian Nutrition Rating and front-of-pack nutrition labelling context. </w:t>
      </w:r>
      <w:hyperlink r:id="rId11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S4 — MeitY Digital Personal Data Protection Act 2023. </w:t>
      </w:r>
      <w:r>
        <w:t xml:space="preserve">Child personal data, verifiable parental consent, restrictions on tracking/behavioural monitoring. </w:t>
      </w:r>
      <w:hyperlink r:id="rId12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S5 — MeitY Digital Personal Data Protection Rules 2025. </w:t>
      </w:r>
      <w:r>
        <w:t xml:space="preserve">Current DPDP Rules and implementation context, including verifiable consent mechanisms. </w:t>
      </w:r>
      <w:hyperlink r:id="rId13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S6 — JMIR 2024 scoping review of health-app discontinuation. </w:t>
      </w:r>
      <w:r>
        <w:t xml:space="preserve">Evidence on health/diet app abandonment and sustained tracking challenges.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S7 — Yuka – press / social impact. </w:t>
      </w:r>
      <w:r>
        <w:t xml:space="preserve">Scale, product model, independence/trust positioning. </w:t>
      </w:r>
      <w:hyperlink r:id="rId15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S8 — Open Food Facts – India milestone. </w:t>
      </w:r>
      <w:r>
        <w:t xml:space="preserve">Illustrates current crowd-sourced Indian packaged-food database scale. </w:t>
      </w:r>
      <w:hyperlink r:id="rId16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S9 — HealthifyMe. </w:t>
      </w:r>
      <w:r>
        <w:t xml:space="preserve">Indian food/AI tracking and consumer-health positioning. </w:t>
      </w:r>
      <w:hyperlink r:id="rId17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S10 — GS1 India Smart Consumer. </w:t>
      </w:r>
      <w:r>
        <w:t xml:space="preserve">Product/consumer information infrastructure in India. </w:t>
      </w:r>
      <w:hyperlink r:id="rId18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S11 — WHO India / ICRIER – Growth of Ultra-Processed Foods in India (2023). </w:t>
      </w:r>
      <w:r>
        <w:t xml:space="preserve">Growth of India’s UPF retail sector and category context.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 xml:space="preserve">Indian dietary guidance including added-sugar and balanced-diet context. </w:t>
      </w:r>
      <w:hyperlink r:id="rId20">
        <w:r>
          <w:rPr>
            <w:color w:val="0563C1"/>
            <w:u w:val="single"/>
          </w:rPr>
          <w:t>Source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S2213-8587(23)00119-5" TargetMode="External"/><Relationship Id="rId10" Type="http://schemas.openxmlformats.org/officeDocument/2006/relationships/hyperlink" Target="https://www.mospi.gov.in/sites/default/files/publication_reports/HCES%20FactSheet%202023-24.pdf" TargetMode="External"/><Relationship Id="rId11" Type="http://schemas.openxmlformats.org/officeDocument/2006/relationships/hyperlink" Target="https://api.sci.gov.in/supremecourt/2025/35988/35988_2025_6_12_68509_Order_10-Feb-2026.pdf" TargetMode="External"/><Relationship Id="rId12" Type="http://schemas.openxmlformats.org/officeDocument/2006/relationships/hyperlink" Target="https://www.meity.gov.in/static/uploads/2024/02/Digital-Personal-Data-Protection-Act-2023.pdf" TargetMode="External"/><Relationship Id="rId13" Type="http://schemas.openxmlformats.org/officeDocument/2006/relationships/hyperlink" Target="https://www.meity.gov.in/documents/act-and-policies/digital-personal-data-protection-rules-2025" TargetMode="External"/><Relationship Id="rId14" Type="http://schemas.openxmlformats.org/officeDocument/2006/relationships/hyperlink" Target="https://www.jmir.org/2024/1/e56897" TargetMode="External"/><Relationship Id="rId15" Type="http://schemas.openxmlformats.org/officeDocument/2006/relationships/hyperlink" Target="https://yuka.io/en/press/" TargetMode="External"/><Relationship Id="rId16" Type="http://schemas.openxmlformats.org/officeDocument/2006/relationships/hyperlink" Target="https://blog.openfoodfacts.org/en/news/open-food-facts-india-database-reaches-10k-product-milestone" TargetMode="External"/><Relationship Id="rId17" Type="http://schemas.openxmlformats.org/officeDocument/2006/relationships/hyperlink" Target="https://www.healthifyme.com/" TargetMode="External"/><Relationship Id="rId18" Type="http://schemas.openxmlformats.org/officeDocument/2006/relationships/hyperlink" Target="https://www.gs1india.org/services/smart-consumer" TargetMode="External"/><Relationship Id="rId19" Type="http://schemas.openxmlformats.org/officeDocument/2006/relationships/hyperlink" Target="https://www.icrier.org/pdf/UPF_Report_2023.pdf" TargetMode="External"/><Relationship Id="rId20" Type="http://schemas.openxmlformats.org/officeDocument/2006/relationships/hyperlink" Target="https://www.nin.res.in/downloads/DietaryGuidelinesforNINwebsi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