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System, Data &amp; AI Requirements</w:t>
      </w:r>
    </w:p>
    <w:p>
      <w:pPr>
        <w:jc w:val="center"/>
      </w:pPr>
      <w:r>
        <w:rPr>
          <w:i/>
          <w:sz w:val="24"/>
        </w:rPr>
        <w:t>Architecture and data contract for Family Food Intelligence</w:t>
      </w:r>
    </w:p>
    <w:p>
      <w:pPr>
        <w:jc w:val="center"/>
      </w:pPr>
      <w:r>
        <w:rPr>
          <w:sz w:val="18"/>
        </w:rPr>
        <w:t>v0.1 | 05 Sep 2026</w:t>
      </w:r>
    </w:p>
    <w:p/>
    <w:p>
      <w:pPr>
        <w:pStyle w:val="Heading1"/>
      </w:pPr>
      <w:r>
        <w:t>1. Reference architecture</w:t>
      </w:r>
    </w:p>
    <w:p>
      <w:r>
        <w:t>Mobile/Web clients → API gateway → product/search service → product data platform → scoring/rules engine → personalization engine → recommendation service → optional AI explanation layer → analytics/audit.</w:t>
      </w:r>
    </w:p>
    <w:p>
      <w:pPr>
        <w:pStyle w:val="Heading1"/>
      </w:pPr>
      <w:r>
        <w:t>2. Core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Entity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Key fields / 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Household</w:t>
            </w:r>
          </w:p>
        </w:tc>
        <w:tc>
          <w:tcPr>
            <w:tcW w:type="dxa" w:w="5040"/>
            <w:vAlign w:val="top"/>
          </w:tcPr>
          <w:p>
            <w:r>
              <w:t>household_id, settings, members, consent references</w:t>
            </w:r>
          </w:p>
        </w:tc>
      </w:tr>
      <w:tr>
        <w:tc>
          <w:tcPr>
            <w:tcW w:type="dxa" w:w="5040"/>
            <w:vAlign w:val="top"/>
          </w:tcPr>
          <w:p>
            <w:r>
              <w:t>Person</w:t>
            </w:r>
          </w:p>
        </w:tc>
        <w:tc>
          <w:tcPr>
            <w:tcW w:type="dxa" w:w="5040"/>
            <w:vAlign w:val="top"/>
          </w:tcPr>
          <w:p>
            <w:r>
              <w:t>person_id, role, age band/date as necessary, goals, preferences</w:t>
            </w:r>
          </w:p>
        </w:tc>
      </w:tr>
      <w:tr>
        <w:tc>
          <w:tcPr>
            <w:tcW w:type="dxa" w:w="5040"/>
            <w:vAlign w:val="top"/>
          </w:tcPr>
          <w:p>
            <w:r>
              <w:t>GuardianConsent</w:t>
            </w:r>
          </w:p>
        </w:tc>
        <w:tc>
          <w:tcPr>
            <w:tcW w:type="dxa" w:w="5040"/>
            <w:vAlign w:val="top"/>
          </w:tcPr>
          <w:p>
            <w:r>
              <w:t>consent_id, guardian, child, purpose, version, evidence, timestamp, status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</w:t>
            </w:r>
          </w:p>
        </w:tc>
        <w:tc>
          <w:tcPr>
            <w:tcW w:type="dxa" w:w="5040"/>
            <w:vAlign w:val="top"/>
          </w:tcPr>
          <w:p>
            <w:r>
              <w:t>product_id, GTIN/barcode, brand, category, region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ProductVersion</w:t>
            </w:r>
          </w:p>
        </w:tc>
        <w:tc>
          <w:tcPr>
            <w:tcW w:type="dxa" w:w="5040"/>
            <w:vAlign w:val="top"/>
          </w:tcPr>
          <w:p>
            <w:r>
              <w:t>effective_from/to, formulation/source data, label image, verification state</w:t>
            </w:r>
          </w:p>
        </w:tc>
      </w:tr>
      <w:tr>
        <w:tc>
          <w:tcPr>
            <w:tcW w:type="dxa" w:w="5040"/>
            <w:vAlign w:val="top"/>
          </w:tcPr>
          <w:p>
            <w:r>
              <w:t>NutrientProfile</w:t>
            </w:r>
          </w:p>
        </w:tc>
        <w:tc>
          <w:tcPr>
            <w:tcW w:type="dxa" w:w="5040"/>
            <w:vAlign w:val="top"/>
          </w:tcPr>
          <w:p>
            <w:r>
              <w:t>energy, added sugar, total sugar, saturated fat, sodium/salt, protein, fibre, etc.</w:t>
            </w:r>
          </w:p>
        </w:tc>
      </w:tr>
      <w:tr>
        <w:tc>
          <w:tcPr>
            <w:tcW w:type="dxa" w:w="5040"/>
            <w:vAlign w:val="top"/>
          </w:tcPr>
          <w:p>
            <w:r>
              <w:t>Ingredient</w:t>
            </w:r>
          </w:p>
        </w:tc>
        <w:tc>
          <w:tcPr>
            <w:tcW w:type="dxa" w:w="5040"/>
            <w:vAlign w:val="top"/>
          </w:tcPr>
          <w:p>
            <w:r>
              <w:t>normalized name, function/category, evidence status</w:t>
            </w:r>
          </w:p>
        </w:tc>
      </w:tr>
      <w:tr>
        <w:tc>
          <w:tcPr>
            <w:tcW w:type="dxa" w:w="5040"/>
            <w:vAlign w:val="top"/>
          </w:tcPr>
          <w:p>
            <w:r>
              <w:t>Allergen</w:t>
            </w:r>
          </w:p>
        </w:tc>
        <w:tc>
          <w:tcPr>
            <w:tcW w:type="dxa" w:w="5040"/>
            <w:vAlign w:val="top"/>
          </w:tcPr>
          <w:p>
            <w:r>
              <w:t>declared allergen, confidence, source</w:t>
            </w:r>
          </w:p>
        </w:tc>
      </w:tr>
      <w:tr>
        <w:tc>
          <w:tcPr>
            <w:tcW w:type="dxa" w:w="5040"/>
            <w:vAlign w:val="top"/>
          </w:tcPr>
          <w:p>
            <w:r>
              <w:t>ScoringRule</w:t>
            </w:r>
          </w:p>
        </w:tc>
        <w:tc>
          <w:tcPr>
            <w:tcW w:type="dxa" w:w="5040"/>
            <w:vAlign w:val="top"/>
          </w:tcPr>
          <w:p>
            <w:r>
              <w:t>rule_id, version, formula/threshold, source/evidence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FitRule</w:t>
            </w:r>
          </w:p>
        </w:tc>
        <w:tc>
          <w:tcPr>
            <w:tcW w:type="dxa" w:w="5040"/>
            <w:vAlign w:val="top"/>
          </w:tcPr>
          <w:p>
            <w:r>
              <w:t>profile dimension → product implication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Recommendation</w:t>
            </w:r>
          </w:p>
        </w:tc>
        <w:tc>
          <w:tcPr>
            <w:tcW w:type="dxa" w:w="5040"/>
            <w:vAlign w:val="top"/>
          </w:tcPr>
          <w:p>
            <w:r>
              <w:t>source product, alternatives, rationale, score version</w:t>
            </w:r>
          </w:p>
        </w:tc>
      </w:tr>
      <w:tr>
        <w:tc>
          <w:tcPr>
            <w:tcW w:type="dxa" w:w="5040"/>
            <w:vAlign w:val="top"/>
          </w:tcPr>
          <w:p>
            <w:r>
              <w:t>FoodEvent</w:t>
            </w:r>
          </w:p>
        </w:tc>
        <w:tc>
          <w:tcPr>
            <w:tcW w:type="dxa" w:w="5040"/>
            <w:vAlign w:val="top"/>
          </w:tcPr>
          <w:p>
            <w:r>
              <w:t>purchased/consumed event, source, confidence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AuditEvent</w:t>
            </w:r>
          </w:p>
        </w:tc>
        <w:tc>
          <w:tcPr>
            <w:tcW w:type="dxa" w:w="5040"/>
            <w:vAlign w:val="top"/>
          </w:tcPr>
          <w:p>
            <w:r>
              <w:t>who/what/when for data, scoring and consent changes</w:t>
            </w:r>
          </w:p>
        </w:tc>
      </w:tr>
    </w:tbl>
    <w:p>
      <w:pPr>
        <w:pStyle w:val="Heading1"/>
      </w:pPr>
      <w:r>
        <w:t>3. Data provenance requirements</w:t>
      </w:r>
    </w:p>
    <w:p>
      <w:pPr>
        <w:pStyle w:val="ListBullet"/>
      </w:pPr>
      <w:r>
        <w:t>Every product fact must store a source and last-verified timestamp.</w:t>
      </w:r>
    </w:p>
    <w:p>
      <w:pPr>
        <w:pStyle w:val="ListBullet"/>
      </w:pPr>
      <w:r>
        <w:t>Where multiple sources disagree, retain conflict state rather than silently choosing.</w:t>
      </w:r>
    </w:p>
    <w:p>
      <w:pPr>
        <w:pStyle w:val="ListBullet"/>
      </w:pPr>
      <w:r>
        <w:t>User-submitted label images should be treated as evidence, not automatically as truth until validation rules pass.</w:t>
      </w:r>
    </w:p>
    <w:p>
      <w:pPr>
        <w:pStyle w:val="ListBullet"/>
      </w:pPr>
      <w:r>
        <w:t>Product formulation changes must create a new ProductVersion.</w:t>
      </w:r>
    </w:p>
    <w:p>
      <w:pPr>
        <w:pStyle w:val="ListBullet"/>
      </w:pPr>
      <w:r>
        <w:t>Each score must reference an exact ScoringRule version and product-data version.</w:t>
      </w:r>
    </w:p>
    <w:p>
      <w:pPr>
        <w:pStyle w:val="Heading1"/>
      </w:pPr>
      <w:r>
        <w:t>4. AI architecture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5"/>
          </w:tcPr>
          <w:p>
            <w:r>
              <w:rPr>
                <w:b/>
              </w:rPr>
              <w:t xml:space="preserve">Rule: </w:t>
            </w:r>
            <w:r>
              <w:t>Deterministic systems decide the nutritional score and policy outcomes. AI explains, extracts, summarizes and assists the user.</w:t>
            </w:r>
          </w:p>
        </w:tc>
      </w:tr>
    </w:tbl>
    <w:p>
      <w:pPr>
        <w:pStyle w:val="Heading1"/>
      </w:pPr>
      <w:r>
        <w:t>5. AI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Use case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AI role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Guardrail</w:t>
            </w:r>
          </w:p>
        </w:tc>
      </w:tr>
      <w:tr>
        <w:tc>
          <w:tcPr>
            <w:tcW w:type="dxa" w:w="3360"/>
            <w:vAlign w:val="top"/>
          </w:tcPr>
          <w:p>
            <w:r>
              <w:t>OCR</w:t>
            </w:r>
          </w:p>
        </w:tc>
        <w:tc>
          <w:tcPr>
            <w:tcW w:type="dxa" w:w="3360"/>
            <w:vAlign w:val="top"/>
          </w:tcPr>
          <w:p>
            <w:r>
              <w:t>Extract label text/nutrients</w:t>
            </w:r>
          </w:p>
        </w:tc>
        <w:tc>
          <w:tcPr>
            <w:tcW w:type="dxa" w:w="3360"/>
            <w:vAlign w:val="top"/>
          </w:tcPr>
          <w:p>
            <w:r>
              <w:t>Confidence + user confirmation</w:t>
            </w:r>
          </w:p>
        </w:tc>
      </w:tr>
      <w:tr>
        <w:tc>
          <w:tcPr>
            <w:tcW w:type="dxa" w:w="3360"/>
            <w:vAlign w:val="top"/>
          </w:tcPr>
          <w:p>
            <w:r>
              <w:t>Ingredient normalization</w:t>
            </w:r>
          </w:p>
        </w:tc>
        <w:tc>
          <w:tcPr>
            <w:tcW w:type="dxa" w:w="3360"/>
            <w:vAlign w:val="top"/>
          </w:tcPr>
          <w:p>
            <w:r>
              <w:t>Map variant wording to canonical ingredient</w:t>
            </w:r>
          </w:p>
        </w:tc>
        <w:tc>
          <w:tcPr>
            <w:tcW w:type="dxa" w:w="3360"/>
            <w:vAlign w:val="top"/>
          </w:tcPr>
          <w:p>
            <w:r>
              <w:t>Taxonomy review</w:t>
            </w:r>
          </w:p>
        </w:tc>
      </w:tr>
      <w:tr>
        <w:tc>
          <w:tcPr>
            <w:tcW w:type="dxa" w:w="3360"/>
            <w:vAlign w:val="top"/>
          </w:tcPr>
          <w:p>
            <w:r>
              <w:t>Explanation</w:t>
            </w:r>
          </w:p>
        </w:tc>
        <w:tc>
          <w:tcPr>
            <w:tcW w:type="dxa" w:w="3360"/>
            <w:vAlign w:val="top"/>
          </w:tcPr>
          <w:p>
            <w:r>
              <w:t>Explain score in plain language</w:t>
            </w:r>
          </w:p>
        </w:tc>
        <w:tc>
          <w:tcPr>
            <w:tcW w:type="dxa" w:w="3360"/>
            <w:vAlign w:val="top"/>
          </w:tcPr>
          <w:p>
            <w:r>
              <w:t>Must cite structured facts</w:t>
            </w:r>
          </w:p>
        </w:tc>
      </w:tr>
      <w:tr>
        <w:tc>
          <w:tcPr>
            <w:tcW w:type="dxa" w:w="3360"/>
            <w:vAlign w:val="top"/>
          </w:tcPr>
          <w:p>
            <w:r>
              <w:t>Alternative generation</w:t>
            </w:r>
          </w:p>
        </w:tc>
        <w:tc>
          <w:tcPr>
            <w:tcW w:type="dxa" w:w="3360"/>
            <w:vAlign w:val="top"/>
          </w:tcPr>
          <w:p>
            <w:r>
              <w:t>Retrieve/rerank candidates</w:t>
            </w:r>
          </w:p>
        </w:tc>
        <w:tc>
          <w:tcPr>
            <w:tcW w:type="dxa" w:w="3360"/>
            <w:vAlign w:val="top"/>
          </w:tcPr>
          <w:p>
            <w:r>
              <w:t>Never invent product facts</w:t>
            </w:r>
          </w:p>
        </w:tc>
      </w:tr>
      <w:tr>
        <w:tc>
          <w:tcPr>
            <w:tcW w:type="dxa" w:w="3360"/>
            <w:vAlign w:val="top"/>
          </w:tcPr>
          <w:p>
            <w:r>
              <w:t>Meal photo</w:t>
            </w:r>
          </w:p>
        </w:tc>
        <w:tc>
          <w:tcPr>
            <w:tcW w:type="dxa" w:w="3360"/>
            <w:vAlign w:val="top"/>
          </w:tcPr>
          <w:p>
            <w:r>
              <w:t>Estimate food composition later</w:t>
            </w:r>
          </w:p>
        </w:tc>
        <w:tc>
          <w:tcPr>
            <w:tcW w:type="dxa" w:w="3360"/>
            <w:vAlign w:val="top"/>
          </w:tcPr>
          <w:p>
            <w:r>
              <w:t>Clearly label estimates</w:t>
            </w:r>
          </w:p>
        </w:tc>
      </w:tr>
      <w:tr>
        <w:tc>
          <w:tcPr>
            <w:tcW w:type="dxa" w:w="3360"/>
            <w:vAlign w:val="top"/>
          </w:tcPr>
          <w:p>
            <w:r>
              <w:t>Conversational assistant</w:t>
            </w:r>
          </w:p>
        </w:tc>
        <w:tc>
          <w:tcPr>
            <w:tcW w:type="dxa" w:w="3360"/>
            <w:vAlign w:val="top"/>
          </w:tcPr>
          <w:p>
            <w:r>
              <w:t>Answer product/household questions</w:t>
            </w:r>
          </w:p>
        </w:tc>
        <w:tc>
          <w:tcPr>
            <w:tcW w:type="dxa" w:w="3360"/>
            <w:vAlign w:val="top"/>
          </w:tcPr>
          <w:p>
            <w:r>
              <w:t>No diagnosis/prescription</w:t>
            </w:r>
          </w:p>
        </w:tc>
      </w:tr>
    </w:tbl>
    <w:p>
      <w:pPr>
        <w:pStyle w:val="Heading1"/>
      </w:pPr>
      <w:r>
        <w:t>6. Scoring architecture</w:t>
      </w:r>
    </w:p>
    <w:p>
      <w:r>
        <w:t>Use separate layers: Product Health Score, Personal Fit, and optional Household Fit. Do not collapse all concepts into one opaque number. A score should be category-aware, transparent, versioned and scientifically reviewed. The score is a product interpretation layer, not a medical classification.</w:t>
      </w:r>
    </w:p>
    <w:p>
      <w:pPr>
        <w:pStyle w:val="Heading1"/>
      </w:pPr>
      <w:r>
        <w:t>7. Recommendation engine</w:t>
      </w:r>
    </w:p>
    <w:p>
      <w:pPr>
        <w:pStyle w:val="ListBullet"/>
      </w:pPr>
      <w:r>
        <w:t>Primary filter: same food/category/substitute intent.</w:t>
      </w:r>
    </w:p>
    <w:p>
      <w:pPr>
        <w:pStyle w:val="ListBullet"/>
      </w:pPr>
      <w:r>
        <w:t>Secondary rank: improvement on user-relevant nutrients and constraints.</w:t>
      </w:r>
    </w:p>
    <w:p>
      <w:pPr>
        <w:pStyle w:val="ListBullet"/>
      </w:pPr>
      <w:r>
        <w:t>Tertiary rank: price, availability and preferences where data is available.</w:t>
      </w:r>
    </w:p>
    <w:p>
      <w:pPr>
        <w:pStyle w:val="ListBullet"/>
      </w:pPr>
      <w:r>
        <w:t>Never rank a product higher because of commercial sponsorship.</w:t>
      </w:r>
    </w:p>
    <w:p>
      <w:pPr>
        <w:pStyle w:val="ListBullet"/>
      </w:pPr>
      <w:r>
        <w:t>Record recommendation outcome for later evaluation.</w:t>
      </w:r>
    </w:p>
    <w:p>
      <w:pPr>
        <w:pStyle w:val="Heading1"/>
      </w:pPr>
      <w:r>
        <w:t>8. Security and privacy architecture</w:t>
      </w:r>
    </w:p>
    <w:p>
      <w:pPr>
        <w:pStyle w:val="ListBullet"/>
      </w:pPr>
      <w:r>
        <w:t>Separate identity data from food-health profile data where practical.</w:t>
      </w:r>
    </w:p>
    <w:p>
      <w:pPr>
        <w:pStyle w:val="ListBullet"/>
      </w:pPr>
      <w:r>
        <w:t>Encrypt sensitive data at rest/in transit.</w:t>
      </w:r>
    </w:p>
    <w:p>
      <w:pPr>
        <w:pStyle w:val="ListBullet"/>
      </w:pPr>
      <w:r>
        <w:t>Least-privilege service access.</w:t>
      </w:r>
    </w:p>
    <w:p>
      <w:pPr>
        <w:pStyle w:val="ListBullet"/>
      </w:pPr>
      <w:r>
        <w:t>Immutable audit trail for consent and policy changes.</w:t>
      </w:r>
    </w:p>
    <w:p>
      <w:pPr>
        <w:pStyle w:val="ListBullet"/>
      </w:pPr>
      <w:r>
        <w:t>Data retention schedules by purpose.</w:t>
      </w:r>
    </w:p>
    <w:p>
      <w:pPr>
        <w:pStyle w:val="ListBullet"/>
      </w:pPr>
      <w:r>
        <w:t>Do not send child data to third-party AI vendors unless expressly reviewed/allowed and necessary.</w:t>
      </w:r>
    </w:p>
    <w:p>
      <w:pPr>
        <w:pStyle w:val="Heading1"/>
      </w:pPr>
      <w:r>
        <w:t>Research sources</w:t>
      </w:r>
    </w:p>
    <w:p>
      <w:r>
        <w:t>The following sources underpin market, regulatory and product assumptions. Claims should be re-checked at release because regulations, competitor features and product data can change.</w:t>
      </w:r>
    </w:p>
    <w:p>
      <w:pPr>
        <w:pStyle w:val="ListNumber"/>
      </w:pPr>
      <w:r>
        <w:rPr>
          <w:b/>
        </w:rPr>
        <w:t xml:space="preserve">S1 — ICMR-INDIAB / The Lancet Diabetes &amp; Endocrinology (2023). </w:t>
      </w:r>
      <w:r>
        <w:t xml:space="preserve">National prevalence of diabetes, prediabetes, hypertension, obesity and dyslipidaemia in India. </w:t>
      </w:r>
      <w:hyperlink r:id="rId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S2 — MoSPI Household Consumption Expenditure Survey 2023-24. </w:t>
      </w:r>
      <w:r>
        <w:t xml:space="preserve">Official household consumption/expenditure survey and household-level consumption context. </w:t>
      </w:r>
      <w:hyperlink r:id="rId10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S3 — FSSAI / Supreme Court order, 10 Feb 2026. </w:t>
      </w:r>
      <w:r>
        <w:t xml:space="preserve">Indian Nutrition Rating and front-of-pack nutrition labelling context. </w:t>
      </w:r>
      <w:hyperlink r:id="rId11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S4 — MeitY Digital Personal Data Protection Act 2023. </w:t>
      </w:r>
      <w:r>
        <w:t xml:space="preserve">Child personal data, verifiable parental consent, restrictions on tracking/behavioural monitoring. </w:t>
      </w:r>
      <w:hyperlink r:id="rId12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S5 — MeitY Digital Personal Data Protection Rules 2025. </w:t>
      </w:r>
      <w:r>
        <w:t xml:space="preserve">Current DPDP Rules and implementation context, including verifiable consent mechanisms. </w:t>
      </w:r>
      <w:hyperlink r:id="rId13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S6 — JMIR 2024 scoping review of health-app discontinuation. </w:t>
      </w:r>
      <w:r>
        <w:t xml:space="preserve">Evidence on health/diet app abandonment and sustained tracking challenges. </w:t>
      </w:r>
      <w:hyperlink r:id="rId14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S7 — Yuka – press / social impact. </w:t>
      </w:r>
      <w:r>
        <w:t xml:space="preserve">Scale, product model, independence/trust positioning. </w:t>
      </w:r>
      <w:hyperlink r:id="rId15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S8 — Open Food Facts – India milestone. </w:t>
      </w:r>
      <w:r>
        <w:t xml:space="preserve">Illustrates current crowd-sourced Indian packaged-food database scale. </w:t>
      </w:r>
      <w:hyperlink r:id="rId16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S9 — HealthifyMe. </w:t>
      </w:r>
      <w:r>
        <w:t xml:space="preserve">Indian food/AI tracking and consumer-health positioning. </w:t>
      </w:r>
      <w:hyperlink r:id="rId17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S10 — GS1 India Smart Consumer. </w:t>
      </w:r>
      <w:r>
        <w:t xml:space="preserve">Product/consumer information infrastructure in India. </w:t>
      </w:r>
      <w:hyperlink r:id="rId18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S11 — WHO India / ICRIER – Growth of Ultra-Processed Foods in India (2023). </w:t>
      </w:r>
      <w:r>
        <w:t xml:space="preserve">Growth of India’s UPF retail sector and category context. </w:t>
      </w:r>
      <w:hyperlink r:id="rId19">
        <w:r>
          <w:rPr>
            <w:color w:val="0563C1"/>
            <w:u w:val="single"/>
          </w:rPr>
          <w:t>Source</w:t>
        </w:r>
      </w:hyperlink>
    </w:p>
    <w:p>
      <w:pPr>
        <w:pStyle w:val="ListNumber"/>
      </w:pPr>
      <w:r>
        <w:rPr>
          <w:b/>
        </w:rPr>
        <w:t xml:space="preserve">S12 — ICMR-NIN Dietary Guidelines for Indians 2024. </w:t>
      </w:r>
      <w:r>
        <w:t xml:space="preserve">Indian dietary guidance including added-sugar and balanced-diet context. </w:t>
      </w:r>
      <w:hyperlink r:id="rId20">
        <w:r>
          <w:rPr>
            <w:color w:val="0563C1"/>
            <w:u w:val="single"/>
          </w:rPr>
          <w:t>Source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S2213-8587(23)00119-5" TargetMode="External"/><Relationship Id="rId10" Type="http://schemas.openxmlformats.org/officeDocument/2006/relationships/hyperlink" Target="https://www.mospi.gov.in/sites/default/files/publication_reports/HCES%20FactSheet%202023-24.pdf" TargetMode="External"/><Relationship Id="rId11" Type="http://schemas.openxmlformats.org/officeDocument/2006/relationships/hyperlink" Target="https://api.sci.gov.in/supremecourt/2025/35988/35988_2025_6_12_68509_Order_10-Feb-2026.pdf" TargetMode="External"/><Relationship Id="rId12" Type="http://schemas.openxmlformats.org/officeDocument/2006/relationships/hyperlink" Target="https://www.meity.gov.in/static/uploads/2024/02/Digital-Personal-Data-Protection-Act-2023.pdf" TargetMode="External"/><Relationship Id="rId13" Type="http://schemas.openxmlformats.org/officeDocument/2006/relationships/hyperlink" Target="https://www.meity.gov.in/documents/act-and-policies/digital-personal-data-protection-rules-2025" TargetMode="External"/><Relationship Id="rId14" Type="http://schemas.openxmlformats.org/officeDocument/2006/relationships/hyperlink" Target="https://www.jmir.org/2024/1/e56897" TargetMode="External"/><Relationship Id="rId15" Type="http://schemas.openxmlformats.org/officeDocument/2006/relationships/hyperlink" Target="https://yuka.io/en/press/" TargetMode="External"/><Relationship Id="rId16" Type="http://schemas.openxmlformats.org/officeDocument/2006/relationships/hyperlink" Target="https://blog.openfoodfacts.org/en/news/open-food-facts-india-database-reaches-10k-product-milestone" TargetMode="External"/><Relationship Id="rId17" Type="http://schemas.openxmlformats.org/officeDocument/2006/relationships/hyperlink" Target="https://www.healthifyme.com/" TargetMode="External"/><Relationship Id="rId18" Type="http://schemas.openxmlformats.org/officeDocument/2006/relationships/hyperlink" Target="https://www.gs1india.org/services/smart-consumer" TargetMode="External"/><Relationship Id="rId19" Type="http://schemas.openxmlformats.org/officeDocument/2006/relationships/hyperlink" Target="https://www.icrier.org/pdf/UPF_Report_2023.pdf" TargetMode="External"/><Relationship Id="rId20" Type="http://schemas.openxmlformats.org/officeDocument/2006/relationships/hyperlink" Target="https://www.nin.res.in/downloads/DietaryGuidelinesforNINwebsi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