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Privacy, Child Consent &amp; Responsible Health Scope</w:t>
      </w:r>
    </w:p>
    <w:p>
      <w:pPr>
        <w:jc w:val="center"/>
      </w:pPr>
      <w:r>
        <w:rPr>
          <w:i/>
          <w:sz w:val="24"/>
        </w:rPr>
        <w:t>Product/legal requirements for India — engineering checklist, not legal advice</w:t>
      </w:r>
    </w:p>
    <w:p>
      <w:pPr>
        <w:jc w:val="center"/>
      </w:pPr>
      <w:r>
        <w:rPr>
          <w:sz w:val="18"/>
        </w:rPr>
        <w:t>v0.1 | 05 Sep 2026</w:t>
      </w:r>
    </w:p>
    <w:p/>
    <w:p>
      <w:pPr>
        <w:pStyle w:val="Heading1"/>
      </w:pPr>
      <w:r>
        <w:t>1. Scope</w:t>
      </w:r>
    </w:p>
    <w:p>
      <w:r>
        <w:t>This document defines the product safeguards required for adult family profiles and parent-controlled child profiles. It is an engineering/product requirement set and must be validated by Indian privacy counsel before production launch.</w:t>
      </w:r>
    </w:p>
    <w:p>
      <w:pPr>
        <w:pStyle w:val="Heading1"/>
      </w:pPr>
      <w:r>
        <w:t>2. Child data principle</w:t>
      </w:r>
    </w:p>
    <w:p>
      <w:r>
        <w:t>The DPDP Act requires verifiable parental consent before processing a child’s personal data and restricts processing likely to cause detrimental effects, as well as tracking/behavioural monitoring and targeted advertising to children, subject to statutory exemptions. S4/S5.</w:t>
      </w:r>
    </w:p>
    <w:p>
      <w:pPr>
        <w:pStyle w:val="Heading1"/>
      </w:pPr>
      <w:r>
        <w:t>3. Child profile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Control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Requirement</w:t>
            </w:r>
          </w:p>
        </w:tc>
      </w:tr>
      <w:tr>
        <w:tc>
          <w:tcPr>
            <w:tcW w:type="dxa" w:w="3360"/>
            <w:vAlign w:val="top"/>
          </w:tcPr>
          <w:p>
            <w:r>
              <w:t>CH-001</w:t>
            </w:r>
          </w:p>
        </w:tc>
        <w:tc>
          <w:tcPr>
            <w:tcW w:type="dxa" w:w="3360"/>
            <w:vAlign w:val="top"/>
          </w:tcPr>
          <w:p>
            <w:r>
              <w:t>Guardian relationship</w:t>
            </w:r>
          </w:p>
        </w:tc>
        <w:tc>
          <w:tcPr>
            <w:tcW w:type="dxa" w:w="3360"/>
            <w:vAlign w:val="top"/>
          </w:tcPr>
          <w:p>
            <w:r>
              <w:t>Record the adult guardian and the child relationship/authority basis.</w:t>
            </w:r>
          </w:p>
        </w:tc>
      </w:tr>
      <w:tr>
        <w:tc>
          <w:tcPr>
            <w:tcW w:type="dxa" w:w="3360"/>
            <w:vAlign w:val="top"/>
          </w:tcPr>
          <w:p>
            <w:r>
              <w:t>CH-002</w:t>
            </w:r>
          </w:p>
        </w:tc>
        <w:tc>
          <w:tcPr>
            <w:tcW w:type="dxa" w:w="3360"/>
            <w:vAlign w:val="top"/>
          </w:tcPr>
          <w:p>
            <w:r>
              <w:t>Verifiable consent</w:t>
            </w:r>
          </w:p>
        </w:tc>
        <w:tc>
          <w:tcPr>
            <w:tcW w:type="dxa" w:w="3360"/>
            <w:vAlign w:val="top"/>
          </w:tcPr>
          <w:p>
            <w:r>
              <w:t>Do not process child personal data until consent requirements are met.</w:t>
            </w:r>
          </w:p>
        </w:tc>
      </w:tr>
      <w:tr>
        <w:tc>
          <w:tcPr>
            <w:tcW w:type="dxa" w:w="3360"/>
            <w:vAlign w:val="top"/>
          </w:tcPr>
          <w:p>
            <w:r>
              <w:t>CH-003</w:t>
            </w:r>
          </w:p>
        </w:tc>
        <w:tc>
          <w:tcPr>
            <w:tcW w:type="dxa" w:w="3360"/>
            <w:vAlign w:val="top"/>
          </w:tcPr>
          <w:p>
            <w:r>
              <w:t>Purpose limitation</w:t>
            </w:r>
          </w:p>
        </w:tc>
        <w:tc>
          <w:tcPr>
            <w:tcW w:type="dxa" w:w="3360"/>
            <w:vAlign w:val="top"/>
          </w:tcPr>
          <w:p>
            <w:r>
              <w:t>Capture only data needed for stated food-intelligence purposes.</w:t>
            </w:r>
          </w:p>
        </w:tc>
      </w:tr>
      <w:tr>
        <w:tc>
          <w:tcPr>
            <w:tcW w:type="dxa" w:w="3360"/>
            <w:vAlign w:val="top"/>
          </w:tcPr>
          <w:p>
            <w:r>
              <w:t>CH-004</w:t>
            </w:r>
          </w:p>
        </w:tc>
        <w:tc>
          <w:tcPr>
            <w:tcW w:type="dxa" w:w="3360"/>
            <w:vAlign w:val="top"/>
          </w:tcPr>
          <w:p>
            <w:r>
              <w:t>No child targeting</w:t>
            </w:r>
          </w:p>
        </w:tc>
        <w:tc>
          <w:tcPr>
            <w:tcW w:type="dxa" w:w="3360"/>
            <w:vAlign w:val="top"/>
          </w:tcPr>
          <w:p>
            <w:r>
              <w:t>No targeted advertising or engagement campaigns directed at child profiles.</w:t>
            </w:r>
          </w:p>
        </w:tc>
      </w:tr>
      <w:tr>
        <w:tc>
          <w:tcPr>
            <w:tcW w:type="dxa" w:w="3360"/>
            <w:vAlign w:val="top"/>
          </w:tcPr>
          <w:p>
            <w:r>
              <w:t>CH-005</w:t>
            </w:r>
          </w:p>
        </w:tc>
        <w:tc>
          <w:tcPr>
            <w:tcW w:type="dxa" w:w="3360"/>
            <w:vAlign w:val="top"/>
          </w:tcPr>
          <w:p>
            <w:r>
              <w:t>No behavioural surveillance</w:t>
            </w:r>
          </w:p>
        </w:tc>
        <w:tc>
          <w:tcPr>
            <w:tcW w:type="dxa" w:w="3360"/>
            <w:vAlign w:val="top"/>
          </w:tcPr>
          <w:p>
            <w:r>
              <w:t>Do not continuously monitor child behaviour beyond permitted product purpose.</w:t>
            </w:r>
          </w:p>
        </w:tc>
      </w:tr>
      <w:tr>
        <w:tc>
          <w:tcPr>
            <w:tcW w:type="dxa" w:w="3360"/>
            <w:vAlign w:val="top"/>
          </w:tcPr>
          <w:p>
            <w:r>
              <w:t>CH-006</w:t>
            </w:r>
          </w:p>
        </w:tc>
        <w:tc>
          <w:tcPr>
            <w:tcW w:type="dxa" w:w="3360"/>
            <w:vAlign w:val="top"/>
          </w:tcPr>
          <w:p>
            <w:r>
              <w:t>Data minimization</w:t>
            </w:r>
          </w:p>
        </w:tc>
        <w:tc>
          <w:tcPr>
            <w:tcW w:type="dxa" w:w="3360"/>
            <w:vAlign w:val="top"/>
          </w:tcPr>
          <w:p>
            <w:r>
              <w:t>Prefer age band + diet/allergy needs over exact identifiers when possible.</w:t>
            </w:r>
          </w:p>
        </w:tc>
      </w:tr>
      <w:tr>
        <w:tc>
          <w:tcPr>
            <w:tcW w:type="dxa" w:w="3360"/>
            <w:vAlign w:val="top"/>
          </w:tcPr>
          <w:p>
            <w:r>
              <w:t>CH-007</w:t>
            </w:r>
          </w:p>
        </w:tc>
        <w:tc>
          <w:tcPr>
            <w:tcW w:type="dxa" w:w="3360"/>
            <w:vAlign w:val="top"/>
          </w:tcPr>
          <w:p>
            <w:r>
              <w:t>Consent versioning</w:t>
            </w:r>
          </w:p>
        </w:tc>
        <w:tc>
          <w:tcPr>
            <w:tcW w:type="dxa" w:w="3360"/>
            <w:vAlign w:val="top"/>
          </w:tcPr>
          <w:p>
            <w:r>
              <w:t>Store consent version, timestamp, mechanism and status.</w:t>
            </w:r>
          </w:p>
        </w:tc>
      </w:tr>
      <w:tr>
        <w:tc>
          <w:tcPr>
            <w:tcW w:type="dxa" w:w="3360"/>
            <w:vAlign w:val="top"/>
          </w:tcPr>
          <w:p>
            <w:r>
              <w:t>CH-008</w:t>
            </w:r>
          </w:p>
        </w:tc>
        <w:tc>
          <w:tcPr>
            <w:tcW w:type="dxa" w:w="3360"/>
            <w:vAlign w:val="top"/>
          </w:tcPr>
          <w:p>
            <w:r>
              <w:t>Revocation</w:t>
            </w:r>
          </w:p>
        </w:tc>
        <w:tc>
          <w:tcPr>
            <w:tcW w:type="dxa" w:w="3360"/>
            <w:vAlign w:val="top"/>
          </w:tcPr>
          <w:p>
            <w:r>
              <w:t>Provide a clear guardian route to withdraw consent and delete/stop applicable processing.</w:t>
            </w:r>
          </w:p>
        </w:tc>
      </w:tr>
      <w:tr>
        <w:tc>
          <w:tcPr>
            <w:tcW w:type="dxa" w:w="3360"/>
            <w:vAlign w:val="top"/>
          </w:tcPr>
          <w:p>
            <w:r>
              <w:t>CH-009</w:t>
            </w:r>
          </w:p>
        </w:tc>
        <w:tc>
          <w:tcPr>
            <w:tcW w:type="dxa" w:w="3360"/>
            <w:vAlign w:val="top"/>
          </w:tcPr>
          <w:p>
            <w:r>
              <w:t>Access control</w:t>
            </w:r>
          </w:p>
        </w:tc>
        <w:tc>
          <w:tcPr>
            <w:tcW w:type="dxa" w:w="3360"/>
            <w:vAlign w:val="top"/>
          </w:tcPr>
          <w:p>
            <w:r>
              <w:t>Child profile visible only to authorized household guardians/members per policy.</w:t>
            </w:r>
          </w:p>
        </w:tc>
      </w:tr>
      <w:tr>
        <w:tc>
          <w:tcPr>
            <w:tcW w:type="dxa" w:w="3360"/>
            <w:vAlign w:val="top"/>
          </w:tcPr>
          <w:p>
            <w:r>
              <w:t>CH-010</w:t>
            </w:r>
          </w:p>
        </w:tc>
        <w:tc>
          <w:tcPr>
            <w:tcW w:type="dxa" w:w="3360"/>
            <w:vAlign w:val="top"/>
          </w:tcPr>
          <w:p>
            <w:r>
              <w:t>Third-party AI</w:t>
            </w:r>
          </w:p>
        </w:tc>
        <w:tc>
          <w:tcPr>
            <w:tcW w:type="dxa" w:w="3360"/>
            <w:vAlign w:val="top"/>
          </w:tcPr>
          <w:p>
            <w:r>
              <w:t>Require privacy review before child data is sent to external model providers.</w:t>
            </w:r>
          </w:p>
        </w:tc>
      </w:tr>
    </w:tbl>
    <w:p>
      <w:pPr>
        <w:pStyle w:val="Heading1"/>
      </w:pPr>
      <w:r>
        <w:t>4. Health-scope language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Avoid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Prefer</w:t>
            </w:r>
          </w:p>
        </w:tc>
      </w:tr>
      <w:tr>
        <w:tc>
          <w:tcPr>
            <w:tcW w:type="dxa" w:w="5040"/>
            <w:vAlign w:val="top"/>
          </w:tcPr>
          <w:p>
            <w:r>
              <w:t>“You cannot eat this.”</w:t>
            </w:r>
          </w:p>
        </w:tc>
        <w:tc>
          <w:tcPr>
            <w:tcW w:type="dxa" w:w="5040"/>
            <w:vAlign w:val="top"/>
          </w:tcPr>
          <w:p>
            <w:r>
              <w:t>“This product is high in added sugar and may not fit your selected dietary goal.”</w:t>
            </w:r>
          </w:p>
        </w:tc>
      </w:tr>
      <w:tr>
        <w:tc>
          <w:tcPr>
            <w:tcW w:type="dxa" w:w="5040"/>
            <w:vAlign w:val="top"/>
          </w:tcPr>
          <w:p>
            <w:r>
              <w:t>“This will cause diabetes.”</w:t>
            </w:r>
          </w:p>
        </w:tc>
        <w:tc>
          <w:tcPr>
            <w:tcW w:type="dxa" w:w="5040"/>
            <w:vAlign w:val="top"/>
          </w:tcPr>
          <w:p>
            <w:r>
              <w:t>“High intake of added sugar is a dietary concern; see cited guidance.”</w:t>
            </w:r>
          </w:p>
        </w:tc>
      </w:tr>
      <w:tr>
        <w:tc>
          <w:tcPr>
            <w:tcW w:type="dxa" w:w="5040"/>
            <w:vAlign w:val="top"/>
          </w:tcPr>
          <w:p>
            <w:r>
              <w:t>“Your child is deficient.”</w:t>
            </w:r>
          </w:p>
        </w:tc>
        <w:tc>
          <w:tcPr>
            <w:tcW w:type="dxa" w:w="5040"/>
            <w:vAlign w:val="top"/>
          </w:tcPr>
          <w:p>
            <w:r>
              <w:t>“The recorded diet appears low in foods that provide this nutrient; discuss concerns with a clinician.”</w:t>
            </w:r>
          </w:p>
        </w:tc>
      </w:tr>
      <w:tr>
        <w:tc>
          <w:tcPr>
            <w:tcW w:type="dxa" w:w="5040"/>
            <w:vAlign w:val="top"/>
          </w:tcPr>
          <w:p>
            <w:r>
              <w:t>“Safe for everyone.”</w:t>
            </w:r>
          </w:p>
        </w:tc>
        <w:tc>
          <w:tcPr>
            <w:tcW w:type="dxa" w:w="5040"/>
            <w:vAlign w:val="top"/>
          </w:tcPr>
          <w:p>
            <w:r>
              <w:t>“No conflict detected with the profile information provided; data may be incomplete.”</w:t>
            </w:r>
          </w:p>
        </w:tc>
      </w:tr>
    </w:tbl>
    <w:p>
      <w:pPr>
        <w:pStyle w:val="Heading1"/>
      </w:pPr>
      <w:r>
        <w:t>5. Data rights / operational requirements</w:t>
      </w:r>
    </w:p>
    <w:p>
      <w:pPr>
        <w:pStyle w:val="ListBullet"/>
      </w:pPr>
      <w:r>
        <w:t>Privacy notice at collection.</w:t>
      </w:r>
    </w:p>
    <w:p>
      <w:pPr>
        <w:pStyle w:val="ListBullet"/>
      </w:pPr>
      <w:r>
        <w:t>Purpose-specific consent where required.</w:t>
      </w:r>
    </w:p>
    <w:p>
      <w:pPr>
        <w:pStyle w:val="ListBullet"/>
      </w:pPr>
      <w:r>
        <w:t>Accessible contact for data questions/requests.</w:t>
      </w:r>
    </w:p>
    <w:p>
      <w:pPr>
        <w:pStyle w:val="ListBullet"/>
      </w:pPr>
      <w:r>
        <w:t>Data access/export/deletion workflows as legally applicable.</w:t>
      </w:r>
    </w:p>
    <w:p>
      <w:pPr>
        <w:pStyle w:val="ListBullet"/>
      </w:pPr>
      <w:r>
        <w:t>Processor/vendor inventory.</w:t>
      </w:r>
    </w:p>
    <w:p>
      <w:pPr>
        <w:pStyle w:val="ListBullet"/>
      </w:pPr>
      <w:r>
        <w:t>Incident response and breach process.</w:t>
      </w:r>
    </w:p>
    <w:p>
      <w:pPr>
        <w:pStyle w:val="ListBullet"/>
      </w:pPr>
      <w:r>
        <w:t>Documented retention and deletion schedules.</w:t>
      </w:r>
    </w:p>
    <w:p>
      <w:pPr>
        <w:pStyle w:val="Heading1"/>
      </w:pPr>
      <w:r>
        <w:t>6. Product governance</w:t>
      </w:r>
    </w:p>
    <w:p>
      <w:pPr>
        <w:pStyle w:val="ListBullet"/>
      </w:pPr>
      <w:r>
        <w:t>Nutrition/science review board for score changes.</w:t>
      </w:r>
    </w:p>
    <w:p>
      <w:pPr>
        <w:pStyle w:val="ListBullet"/>
      </w:pPr>
      <w:r>
        <w:t>Clinical advisor review for any disease-specific functionality.</w:t>
      </w:r>
    </w:p>
    <w:p>
      <w:pPr>
        <w:pStyle w:val="ListBullet"/>
      </w:pPr>
      <w:r>
        <w:t>Legal review for marketing claims and food-safety claims.</w:t>
      </w:r>
    </w:p>
    <w:p>
      <w:pPr>
        <w:pStyle w:val="ListBullet"/>
      </w:pPr>
      <w:r>
        <w:t>Change-control process for scoring formulas.</w:t>
      </w:r>
    </w:p>
    <w:p>
      <w:pPr>
        <w:pStyle w:val="ListBullet"/>
      </w:pPr>
      <w:r>
        <w:t>User-facing correction and dispute workflow.</w:t>
      </w:r>
    </w:p>
    <w:p>
      <w:pPr>
        <w:pStyle w:val="Heading1"/>
      </w:pPr>
      <w:r>
        <w:t>7. Launch blocker checklist</w:t>
      </w:r>
    </w:p>
    <w:p>
      <w:pPr>
        <w:pStyle w:val="ListBullet"/>
      </w:pPr>
      <w:r>
        <w:t>Counsel signs off child consent flow.</w:t>
      </w:r>
    </w:p>
    <w:p>
      <w:pPr>
        <w:pStyle w:val="ListBullet"/>
      </w:pPr>
      <w:r>
        <w:t>Counsel signs off data map and vendor processing.</w:t>
      </w:r>
    </w:p>
    <w:p>
      <w:pPr>
        <w:pStyle w:val="ListBullet"/>
      </w:pPr>
      <w:r>
        <w:t>Science advisor signs off score v1.</w:t>
      </w:r>
    </w:p>
    <w:p>
      <w:pPr>
        <w:pStyle w:val="ListBullet"/>
      </w:pPr>
      <w:r>
        <w:t>All high-risk marketing claims reviewed.</w:t>
      </w:r>
    </w:p>
    <w:p>
      <w:pPr>
        <w:pStyle w:val="ListBullet"/>
      </w:pPr>
      <w:r>
        <w:t>Deletion/export workflows tested.</w:t>
      </w:r>
    </w:p>
    <w:p>
      <w:pPr>
        <w:pStyle w:val="ListBullet"/>
      </w:pPr>
      <w:r>
        <w:t>Child data is excluded from unauthorized analytics/ad stacks.</w:t>
      </w:r>
    </w:p>
    <w:p>
      <w:pPr>
        <w:pStyle w:val="Heading1"/>
      </w:pPr>
      <w:r>
        <w:t>Research sources</w:t>
      </w:r>
    </w:p>
    <w:p>
      <w:r>
        <w:t>The following sources underpin market, regulatory and product assumptions. Claims should be re-checked at release because regulations, competitor features and product data can change.</w:t>
      </w:r>
    </w:p>
    <w:p>
      <w:pPr>
        <w:pStyle w:val="ListNumber"/>
      </w:pPr>
      <w:r>
        <w:rPr>
          <w:b/>
        </w:rPr>
        <w:t xml:space="preserve">S1 — ICMR-INDIAB / The Lancet Diabetes &amp; Endocrinology (2023). </w:t>
      </w:r>
      <w:r>
        <w:t xml:space="preserve">National prevalence of diabetes, prediabetes, hypertension, obesity and dyslipidaemia in India. </w:t>
      </w:r>
      <w:hyperlink r:id="rId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S2 — MoSPI Household Consumption Expenditure Survey 2023-24. </w:t>
      </w:r>
      <w:r>
        <w:t xml:space="preserve">Official household consumption/expenditure survey and household-level consumption context. </w:t>
      </w:r>
      <w:hyperlink r:id="rId10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S3 — FSSAI / Supreme Court order, 10 Feb 2026. </w:t>
      </w:r>
      <w:r>
        <w:t xml:space="preserve">Indian Nutrition Rating and front-of-pack nutrition labelling context. </w:t>
      </w:r>
      <w:hyperlink r:id="rId11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S4 — MeitY Digital Personal Data Protection Act 2023. </w:t>
      </w:r>
      <w:r>
        <w:t xml:space="preserve">Child personal data, verifiable parental consent, restrictions on tracking/behavioural monitoring. </w:t>
      </w:r>
      <w:hyperlink r:id="rId12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S5 — MeitY Digital Personal Data Protection Rules 2025. </w:t>
      </w:r>
      <w:r>
        <w:t xml:space="preserve">Current DPDP Rules and implementation context, including verifiable consent mechanisms. </w:t>
      </w:r>
      <w:hyperlink r:id="rId13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S6 — JMIR 2024 scoping review of health-app discontinuation. </w:t>
      </w:r>
      <w:r>
        <w:t xml:space="preserve">Evidence on health/diet app abandonment and sustained tracking challenges.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S7 — Yuka – press / social impact. </w:t>
      </w:r>
      <w:r>
        <w:t xml:space="preserve">Scale, product model, independence/trust positioning. </w:t>
      </w:r>
      <w:hyperlink r:id="rId15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S8 — Open Food Facts – India milestone. </w:t>
      </w:r>
      <w:r>
        <w:t xml:space="preserve">Illustrates current crowd-sourced Indian packaged-food database scale. </w:t>
      </w:r>
      <w:hyperlink r:id="rId16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S9 — HealthifyMe. </w:t>
      </w:r>
      <w:r>
        <w:t xml:space="preserve">Indian food/AI tracking and consumer-health positioning. </w:t>
      </w:r>
      <w:hyperlink r:id="rId17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S10 — GS1 India Smart Consumer. </w:t>
      </w:r>
      <w:r>
        <w:t xml:space="preserve">Product/consumer information infrastructure in India. </w:t>
      </w:r>
      <w:hyperlink r:id="rId18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S11 — WHO India / ICRIER – Growth of Ultra-Processed Foods in India (2023). </w:t>
      </w:r>
      <w:r>
        <w:t xml:space="preserve">Growth of India’s UPF retail sector and category context.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S12 — ICMR-NIN Dietary Guidelines for Indians 2024. </w:t>
      </w:r>
      <w:r>
        <w:t xml:space="preserve">Indian dietary guidance including added-sugar and balanced-diet context. </w:t>
      </w:r>
      <w:hyperlink r:id="rId20">
        <w:r>
          <w:rPr>
            <w:color w:val="0563C1"/>
            <w:u w:val="single"/>
          </w:rPr>
          <w:t>Source</w:t>
        </w:r>
      </w:hyperlink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16/S2213-8587(23)00119-5" TargetMode="External"/><Relationship Id="rId10" Type="http://schemas.openxmlformats.org/officeDocument/2006/relationships/hyperlink" Target="https://www.mospi.gov.in/sites/default/files/publication_reports/HCES%20FactSheet%202023-24.pdf" TargetMode="External"/><Relationship Id="rId11" Type="http://schemas.openxmlformats.org/officeDocument/2006/relationships/hyperlink" Target="https://api.sci.gov.in/supremecourt/2025/35988/35988_2025_6_12_68509_Order_10-Feb-2026.pdf" TargetMode="External"/><Relationship Id="rId12" Type="http://schemas.openxmlformats.org/officeDocument/2006/relationships/hyperlink" Target="https://www.meity.gov.in/static/uploads/2024/02/Digital-Personal-Data-Protection-Act-2023.pdf" TargetMode="External"/><Relationship Id="rId13" Type="http://schemas.openxmlformats.org/officeDocument/2006/relationships/hyperlink" Target="https://www.meity.gov.in/documents/act-and-policies/digital-personal-data-protection-rules-2025" TargetMode="External"/><Relationship Id="rId14" Type="http://schemas.openxmlformats.org/officeDocument/2006/relationships/hyperlink" Target="https://www.jmir.org/2024/1/e56897" TargetMode="External"/><Relationship Id="rId15" Type="http://schemas.openxmlformats.org/officeDocument/2006/relationships/hyperlink" Target="https://yuka.io/en/press/" TargetMode="External"/><Relationship Id="rId16" Type="http://schemas.openxmlformats.org/officeDocument/2006/relationships/hyperlink" Target="https://blog.openfoodfacts.org/en/news/open-food-facts-india-database-reaches-10k-product-milestone" TargetMode="External"/><Relationship Id="rId17" Type="http://schemas.openxmlformats.org/officeDocument/2006/relationships/hyperlink" Target="https://www.healthifyme.com/" TargetMode="External"/><Relationship Id="rId18" Type="http://schemas.openxmlformats.org/officeDocument/2006/relationships/hyperlink" Target="https://www.gs1india.org/services/smart-consumer" TargetMode="External"/><Relationship Id="rId19" Type="http://schemas.openxmlformats.org/officeDocument/2006/relationships/hyperlink" Target="https://www.icrier.org/pdf/UPF_Report_2023.pdf" TargetMode="External"/><Relationship Id="rId20" Type="http://schemas.openxmlformats.org/officeDocument/2006/relationships/hyperlink" Target="https://www.nin.res.in/downloads/DietaryGuidelinesforNINwebsi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