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Validation Plan, Metrics &amp; Go-to-Market</w:t>
      </w:r>
    </w:p>
    <w:p>
      <w:pPr>
        <w:jc w:val="center"/>
      </w:pPr>
      <w:r>
        <w:rPr>
          <w:i/>
          <w:sz w:val="24"/>
        </w:rPr>
        <w:t>Experiments to prove product value, retention and payer economics</w:t>
      </w:r>
    </w:p>
    <w:p>
      <w:pPr>
        <w:jc w:val="center"/>
      </w:pPr>
      <w:r>
        <w:rPr>
          <w:sz w:val="18"/>
        </w:rPr>
        <w:t>v0.1 | 05 Sep 2026</w:t>
      </w:r>
    </w:p>
    <w:p/>
    <w:p>
      <w:pPr>
        <w:pStyle w:val="Heading1"/>
      </w:pPr>
      <w:r>
        <w:t>1. Core hypotheses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t>ID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Hypothesis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Test signal</w:t>
            </w:r>
          </w:p>
        </w:tc>
      </w:tr>
      <w:tr>
        <w:tc>
          <w:tcPr>
            <w:tcW w:type="dxa" w:w="3360"/>
            <w:vAlign w:val="top"/>
          </w:tcPr>
          <w:p>
            <w:r>
              <w:t>H1</w:t>
            </w:r>
          </w:p>
        </w:tc>
        <w:tc>
          <w:tcPr>
            <w:tcW w:type="dxa" w:w="3360"/>
            <w:vAlign w:val="top"/>
          </w:tcPr>
          <w:p>
            <w:r>
              <w:t>Users have repeated food decisions that this product can improve.</w:t>
            </w:r>
          </w:p>
        </w:tc>
        <w:tc>
          <w:tcPr>
            <w:tcW w:type="dxa" w:w="3360"/>
            <w:vAlign w:val="top"/>
          </w:tcPr>
          <w:p>
            <w:r>
              <w:t>Decision frequency + repeat usage</w:t>
            </w:r>
          </w:p>
        </w:tc>
      </w:tr>
      <w:tr>
        <w:tc>
          <w:tcPr>
            <w:tcW w:type="dxa" w:w="3360"/>
            <w:vAlign w:val="top"/>
          </w:tcPr>
          <w:p>
            <w:r>
              <w:t>H2</w:t>
            </w:r>
          </w:p>
        </w:tc>
        <w:tc>
          <w:tcPr>
            <w:tcW w:type="dxa" w:w="3360"/>
            <w:vAlign w:val="top"/>
          </w:tcPr>
          <w:p>
            <w:r>
              <w:t>Personal/family fit is more valuable than generic product scores.</w:t>
            </w:r>
          </w:p>
        </w:tc>
        <w:tc>
          <w:tcPr>
            <w:tcW w:type="dxa" w:w="3360"/>
            <w:vAlign w:val="top"/>
          </w:tcPr>
          <w:p>
            <w:r>
              <w:t>Fit feature usage + substitution acceptance</w:t>
            </w:r>
          </w:p>
        </w:tc>
      </w:tr>
      <w:tr>
        <w:tc>
          <w:tcPr>
            <w:tcW w:type="dxa" w:w="3360"/>
            <w:vAlign w:val="top"/>
          </w:tcPr>
          <w:p>
            <w:r>
              <w:t>H3</w:t>
            </w:r>
          </w:p>
        </w:tc>
        <w:tc>
          <w:tcPr>
            <w:tcW w:type="dxa" w:w="3360"/>
            <w:vAlign w:val="top"/>
          </w:tcPr>
          <w:p>
            <w:r>
              <w:t>Users prefer decision support to detailed logging.</w:t>
            </w:r>
          </w:p>
        </w:tc>
        <w:tc>
          <w:tcPr>
            <w:tcW w:type="dxa" w:w="3360"/>
            <w:vAlign w:val="top"/>
          </w:tcPr>
          <w:p>
            <w:r>
              <w:t>Session time + retention by feature</w:t>
            </w:r>
          </w:p>
        </w:tc>
      </w:tr>
      <w:tr>
        <w:tc>
          <w:tcPr>
            <w:tcW w:type="dxa" w:w="3360"/>
            <w:vAlign w:val="top"/>
          </w:tcPr>
          <w:p>
            <w:r>
              <w:t>H4</w:t>
            </w:r>
          </w:p>
        </w:tc>
        <w:tc>
          <w:tcPr>
            <w:tcW w:type="dxa" w:w="3360"/>
            <w:vAlign w:val="top"/>
          </w:tcPr>
          <w:p>
            <w:r>
              <w:t>Parents/guardians will use the product for family purchases.</w:t>
            </w:r>
          </w:p>
        </w:tc>
        <w:tc>
          <w:tcPr>
            <w:tcW w:type="dxa" w:w="3360"/>
            <w:vAlign w:val="top"/>
          </w:tcPr>
          <w:p>
            <w:r>
              <w:t>Family session and child-profile usage metrics</w:t>
            </w:r>
          </w:p>
        </w:tc>
      </w:tr>
      <w:tr>
        <w:tc>
          <w:tcPr>
            <w:tcW w:type="dxa" w:w="3360"/>
            <w:vAlign w:val="top"/>
          </w:tcPr>
          <w:p>
            <w:r>
              <w:t>H5</w:t>
            </w:r>
          </w:p>
        </w:tc>
        <w:tc>
          <w:tcPr>
            <w:tcW w:type="dxa" w:w="3360"/>
            <w:vAlign w:val="top"/>
          </w:tcPr>
          <w:p>
            <w:r>
              <w:t>A third party will pay for access if outcomes are measurable.</w:t>
            </w:r>
          </w:p>
        </w:tc>
        <w:tc>
          <w:tcPr>
            <w:tcW w:type="dxa" w:w="3360"/>
            <w:vAlign w:val="top"/>
          </w:tcPr>
          <w:p>
            <w:r>
              <w:t>Paid pilot/LOI</w:t>
            </w:r>
          </w:p>
        </w:tc>
      </w:tr>
      <w:tr>
        <w:tc>
          <w:tcPr>
            <w:tcW w:type="dxa" w:w="3360"/>
            <w:vAlign w:val="top"/>
          </w:tcPr>
          <w:p>
            <w:r>
              <w:t>H6</w:t>
            </w:r>
          </w:p>
        </w:tc>
        <w:tc>
          <w:tcPr>
            <w:tcW w:type="dxa" w:w="3360"/>
            <w:vAlign w:val="top"/>
          </w:tcPr>
          <w:p>
            <w:r>
              <w:t>Data operations cost can be kept within unit-economics limits.</w:t>
            </w:r>
          </w:p>
        </w:tc>
        <w:tc>
          <w:tcPr>
            <w:tcW w:type="dxa" w:w="3360"/>
            <w:vAlign w:val="top"/>
          </w:tcPr>
          <w:p>
            <w:r>
              <w:t>Cost per active/verified SKU</w:t>
            </w:r>
          </w:p>
        </w:tc>
      </w:tr>
    </w:tbl>
    <w:p>
      <w:pPr>
        <w:pStyle w:val="Heading1"/>
      </w:pPr>
      <w:r>
        <w:t>2. North-star and supporting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Metric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Definition</w:t>
            </w:r>
          </w:p>
        </w:tc>
      </w:tr>
      <w:tr>
        <w:tc>
          <w:tcPr>
            <w:tcW w:type="dxa" w:w="5040"/>
            <w:vAlign w:val="top"/>
          </w:tcPr>
          <w:p>
            <w:r>
              <w:t>Healthy Decision Rate</w:t>
            </w:r>
          </w:p>
        </w:tc>
        <w:tc>
          <w:tcPr>
            <w:tcW w:type="dxa" w:w="5040"/>
            <w:vAlign w:val="top"/>
          </w:tcPr>
          <w:p>
            <w:r>
              <w:t>Share of analyzed purchase decisions where user accepts a better-fit alternative or otherwise takes a recommended action</w:t>
            </w:r>
          </w:p>
        </w:tc>
      </w:tr>
      <w:tr>
        <w:tc>
          <w:tcPr>
            <w:tcW w:type="dxa" w:w="5040"/>
            <w:vAlign w:val="top"/>
          </w:tcPr>
          <w:p>
            <w:r>
              <w:t>Recommendation Acceptance</w:t>
            </w:r>
          </w:p>
        </w:tc>
        <w:tc>
          <w:tcPr>
            <w:tcW w:type="dxa" w:w="5040"/>
            <w:vAlign w:val="top"/>
          </w:tcPr>
          <w:p>
            <w:r>
              <w:t>Recommended alternatives selected / recommendations shown</w:t>
            </w:r>
          </w:p>
        </w:tc>
      </w:tr>
      <w:tr>
        <w:tc>
          <w:tcPr>
            <w:tcW w:type="dxa" w:w="5040"/>
            <w:vAlign w:val="top"/>
          </w:tcPr>
          <w:p>
            <w:r>
              <w:t>Repeat Decision Rate</w:t>
            </w:r>
          </w:p>
        </w:tc>
        <w:tc>
          <w:tcPr>
            <w:tcW w:type="dxa" w:w="5040"/>
            <w:vAlign w:val="top"/>
          </w:tcPr>
          <w:p>
            <w:r>
              <w:t>Users returning for another meaningful food decision within a defined window</w:t>
            </w:r>
          </w:p>
        </w:tc>
      </w:tr>
      <w:tr>
        <w:tc>
          <w:tcPr>
            <w:tcW w:type="dxa" w:w="5040"/>
            <w:vAlign w:val="top"/>
          </w:tcPr>
          <w:p>
            <w:r>
              <w:t>Scan/Search Success</w:t>
            </w:r>
          </w:p>
        </w:tc>
        <w:tc>
          <w:tcPr>
            <w:tcW w:type="dxa" w:w="5040"/>
            <w:vAlign w:val="top"/>
          </w:tcPr>
          <w:p>
            <w:r>
              <w:t>Real-world products resolved accurately or through safe OCR/manual capture</w:t>
            </w:r>
          </w:p>
        </w:tc>
      </w:tr>
      <w:tr>
        <w:tc>
          <w:tcPr>
            <w:tcW w:type="dxa" w:w="5040"/>
            <w:vAlign w:val="top"/>
          </w:tcPr>
          <w:p>
            <w:r>
              <w:t>Data Freshness</w:t>
            </w:r>
          </w:p>
        </w:tc>
        <w:tc>
          <w:tcPr>
            <w:tcW w:type="dxa" w:w="5040"/>
            <w:vAlign w:val="top"/>
          </w:tcPr>
          <w:p>
            <w:r>
              <w:t>Percent of active SKUs verified within target freshness window</w:t>
            </w:r>
          </w:p>
        </w:tc>
      </w:tr>
      <w:tr>
        <w:tc>
          <w:tcPr>
            <w:tcW w:type="dxa" w:w="5040"/>
            <w:vAlign w:val="top"/>
          </w:tcPr>
          <w:p>
            <w:r>
              <w:t>8-week retention</w:t>
            </w:r>
          </w:p>
        </w:tc>
        <w:tc>
          <w:tcPr>
            <w:tcW w:type="dxa" w:w="5040"/>
            <w:vAlign w:val="top"/>
          </w:tcPr>
          <w:p>
            <w:r>
              <w:t>Users with meaningful food decisions in week 8 / cohort</w:t>
            </w:r>
          </w:p>
        </w:tc>
      </w:tr>
      <w:tr>
        <w:tc>
          <w:tcPr>
            <w:tcW w:type="dxa" w:w="5040"/>
            <w:vAlign w:val="top"/>
          </w:tcPr>
          <w:p>
            <w:r>
              <w:t>Paid conversion</w:t>
            </w:r>
          </w:p>
        </w:tc>
        <w:tc>
          <w:tcPr>
            <w:tcW w:type="dxa" w:w="5040"/>
            <w:vAlign w:val="top"/>
          </w:tcPr>
          <w:p>
            <w:r>
              <w:t>Paying households / eligible free households</w:t>
            </w:r>
          </w:p>
        </w:tc>
      </w:tr>
      <w:tr>
        <w:tc>
          <w:tcPr>
            <w:tcW w:type="dxa" w:w="5040"/>
            <w:vAlign w:val="top"/>
          </w:tcPr>
          <w:p>
            <w:r>
              <w:t>B2B pilot conversion</w:t>
            </w:r>
          </w:p>
        </w:tc>
        <w:tc>
          <w:tcPr>
            <w:tcW w:type="dxa" w:w="5040"/>
            <w:vAlign w:val="top"/>
          </w:tcPr>
          <w:p>
            <w:r>
              <w:t>Qualified partner discussions resulting in paid pilot/LOI</w:t>
            </w:r>
          </w:p>
        </w:tc>
      </w:tr>
      <w:tr>
        <w:tc>
          <w:tcPr>
            <w:tcW w:type="dxa" w:w="5040"/>
            <w:vAlign w:val="top"/>
          </w:tcPr>
          <w:p>
            <w:r>
              <w:t>Cost per active SKU</w:t>
            </w:r>
          </w:p>
        </w:tc>
        <w:tc>
          <w:tcPr>
            <w:tcW w:type="dxa" w:w="5040"/>
            <w:vAlign w:val="top"/>
          </w:tcPr>
          <w:p>
            <w:r>
              <w:t>Data operations + verification cost attributable to live SKUs</w:t>
            </w:r>
          </w:p>
        </w:tc>
      </w:tr>
    </w:tbl>
    <w:p>
      <w:pPr>
        <w:pStyle w:val="Heading1"/>
      </w:pPr>
      <w:r>
        <w:t>3. First experiments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t>Experiment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Design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Decision</w:t>
            </w:r>
          </w:p>
        </w:tc>
      </w:tr>
      <w:tr>
        <w:tc>
          <w:tcPr>
            <w:tcW w:type="dxa" w:w="3360"/>
            <w:vAlign w:val="top"/>
          </w:tcPr>
          <w:p>
            <w:r>
              <w:t>Decision test</w:t>
            </w:r>
          </w:p>
        </w:tc>
        <w:tc>
          <w:tcPr>
            <w:tcW w:type="dxa" w:w="3360"/>
            <w:vAlign w:val="top"/>
          </w:tcPr>
          <w:p>
            <w:r>
              <w:t>100–300 real households; compare score-only vs personalized-fit result</w:t>
            </w:r>
          </w:p>
        </w:tc>
        <w:tc>
          <w:tcPr>
            <w:tcW w:type="dxa" w:w="3360"/>
            <w:vAlign w:val="top"/>
          </w:tcPr>
          <w:p>
            <w:r>
              <w:t>Keep/kill personalization</w:t>
            </w:r>
          </w:p>
        </w:tc>
      </w:tr>
      <w:tr>
        <w:tc>
          <w:tcPr>
            <w:tcW w:type="dxa" w:w="3360"/>
            <w:vAlign w:val="top"/>
          </w:tcPr>
          <w:p>
            <w:r>
              <w:t>Parent test</w:t>
            </w:r>
          </w:p>
        </w:tc>
        <w:tc>
          <w:tcPr>
            <w:tcW w:type="dxa" w:w="3360"/>
            <w:vAlign w:val="top"/>
          </w:tcPr>
          <w:p>
            <w:r>
              <w:t>Adult guardian profile + optional child profile with consent</w:t>
            </w:r>
          </w:p>
        </w:tc>
        <w:tc>
          <w:tcPr>
            <w:tcW w:type="dxa" w:w="3360"/>
            <w:vAlign w:val="top"/>
          </w:tcPr>
          <w:p>
            <w:r>
              <w:t>Validate recurring family utility</w:t>
            </w:r>
          </w:p>
        </w:tc>
      </w:tr>
      <w:tr>
        <w:tc>
          <w:tcPr>
            <w:tcW w:type="dxa" w:w="3360"/>
            <w:vAlign w:val="top"/>
          </w:tcPr>
          <w:p>
            <w:r>
              <w:t>Cart test</w:t>
            </w:r>
          </w:p>
        </w:tc>
        <w:tc>
          <w:tcPr>
            <w:tcW w:type="dxa" w:w="3360"/>
            <w:vAlign w:val="top"/>
          </w:tcPr>
          <w:p>
            <w:r>
              <w:t>User uploads/selects 5–20 products; app proposes substitutions</w:t>
            </w:r>
          </w:p>
        </w:tc>
        <w:tc>
          <w:tcPr>
            <w:tcW w:type="dxa" w:w="3360"/>
            <w:vAlign w:val="top"/>
          </w:tcPr>
          <w:p>
            <w:r>
              <w:t>Measure basket improvement</w:t>
            </w:r>
          </w:p>
        </w:tc>
      </w:tr>
      <w:tr>
        <w:tc>
          <w:tcPr>
            <w:tcW w:type="dxa" w:w="3360"/>
            <w:vAlign w:val="top"/>
          </w:tcPr>
          <w:p>
            <w:r>
              <w:t>B2B payer test</w:t>
            </w:r>
          </w:p>
        </w:tc>
        <w:tc>
          <w:tcPr>
            <w:tcW w:type="dxa" w:w="3360"/>
            <w:vAlign w:val="top"/>
          </w:tcPr>
          <w:p>
            <w:r>
              <w:t>Prototype demo to diagnostics/employer/clinic/insurer prospects</w:t>
            </w:r>
          </w:p>
        </w:tc>
        <w:tc>
          <w:tcPr>
            <w:tcW w:type="dxa" w:w="3360"/>
            <w:vAlign w:val="top"/>
          </w:tcPr>
          <w:p>
            <w:r>
              <w:t>Paid pilot / LOI / no-go</w:t>
            </w:r>
          </w:p>
        </w:tc>
      </w:tr>
      <w:tr>
        <w:tc>
          <w:tcPr>
            <w:tcW w:type="dxa" w:w="3360"/>
            <w:vAlign w:val="top"/>
          </w:tcPr>
          <w:p>
            <w:r>
              <w:t>Data-cost test</w:t>
            </w:r>
          </w:p>
        </w:tc>
        <w:tc>
          <w:tcPr>
            <w:tcW w:type="dxa" w:w="3360"/>
            <w:vAlign w:val="top"/>
          </w:tcPr>
          <w:p>
            <w:r>
              <w:t>Operate 1–2K priority SKUs for 8–12 weeks</w:t>
            </w:r>
          </w:p>
        </w:tc>
        <w:tc>
          <w:tcPr>
            <w:tcW w:type="dxa" w:w="3360"/>
            <w:vAlign w:val="top"/>
          </w:tcPr>
          <w:p>
            <w:r>
              <w:t>Calculate sustainable SKU cost</w:t>
            </w:r>
          </w:p>
        </w:tc>
      </w:tr>
    </w:tbl>
    <w:p>
      <w:pPr>
        <w:pStyle w:val="Heading1"/>
      </w:pPr>
      <w:r>
        <w:t>4. Acquisition</w:t>
      </w:r>
    </w:p>
    <w:p>
      <w:pPr>
        <w:pStyle w:val="ListBullet"/>
      </w:pPr>
      <w:r>
        <w:t>Creator/content-led education around label literacy and food decisions.</w:t>
      </w:r>
    </w:p>
    <w:p>
      <w:pPr>
        <w:pStyle w:val="ListBullet"/>
      </w:pPr>
      <w:r>
        <w:t>Search/SEO pages for high-intent product questions.</w:t>
      </w:r>
    </w:p>
    <w:p>
      <w:pPr>
        <w:pStyle w:val="ListBullet"/>
      </w:pPr>
      <w:r>
        <w:t>Parent communities and household groups.</w:t>
      </w:r>
    </w:p>
    <w:p>
      <w:pPr>
        <w:pStyle w:val="ListBullet"/>
      </w:pPr>
      <w:r>
        <w:t>Clinic/diagnostic referrals for metabolic-health cohorts.</w:t>
      </w:r>
    </w:p>
    <w:p>
      <w:pPr>
        <w:pStyle w:val="ListBullet"/>
      </w:pPr>
      <w:r>
        <w:t>B2B2C distribution through employers/health partners.</w:t>
      </w:r>
    </w:p>
    <w:p>
      <w:pPr>
        <w:pStyle w:val="Heading1"/>
      </w:pPr>
      <w:r>
        <w:t>5. Pricing tests</w:t>
      </w:r>
    </w:p>
    <w:p>
      <w:pPr>
        <w:pStyle w:val="ListBullet"/>
      </w:pPr>
      <w:r>
        <w:t>Free core + annual family premium.</w:t>
      </w:r>
    </w:p>
    <w:p>
      <w:pPr>
        <w:pStyle w:val="ListBullet"/>
      </w:pPr>
      <w:r>
        <w:t>One-time/lifetime unlock for trust-sensitive consumers.</w:t>
      </w:r>
    </w:p>
    <w:p>
      <w:pPr>
        <w:pStyle w:val="ListBullet"/>
      </w:pPr>
      <w:r>
        <w:t>Per-household/per-member B2B2C pricing.</w:t>
      </w:r>
    </w:p>
    <w:p>
      <w:pPr>
        <w:pStyle w:val="ListBullet"/>
      </w:pPr>
      <w:r>
        <w:t>Avoid paid placement in health recommendations.</w:t>
      </w:r>
    </w:p>
    <w:p>
      <w:pPr>
        <w:pStyle w:val="Heading1"/>
      </w:pPr>
      <w:r>
        <w:t>6. Go/no-go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  <w:vAlign w:val="center"/>
          </w:tcPr>
          <w:p>
            <w:r>
              <w:t>Signal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Go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Pivot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Stop</w:t>
            </w:r>
          </w:p>
        </w:tc>
      </w:tr>
      <w:tr>
        <w:tc>
          <w:tcPr>
            <w:tcW w:type="dxa" w:w="2520"/>
            <w:vAlign w:val="top"/>
          </w:tcPr>
          <w:p>
            <w:r>
              <w:t>Usage</w:t>
            </w:r>
          </w:p>
        </w:tc>
        <w:tc>
          <w:tcPr>
            <w:tcW w:type="dxa" w:w="2520"/>
            <w:vAlign w:val="top"/>
          </w:tcPr>
          <w:p>
            <w:r>
              <w:t>Repeated decisions</w:t>
            </w:r>
          </w:p>
        </w:tc>
        <w:tc>
          <w:tcPr>
            <w:tcW w:type="dxa" w:w="2520"/>
            <w:vAlign w:val="top"/>
          </w:tcPr>
          <w:p>
            <w:r>
              <w:t>One-off novelty</w:t>
            </w:r>
          </w:p>
        </w:tc>
        <w:tc>
          <w:tcPr>
            <w:tcW w:type="dxa" w:w="2520"/>
            <w:vAlign w:val="top"/>
          </w:tcPr>
          <w:p>
            <w:r>
              <w:t>Little demand</w:t>
            </w:r>
          </w:p>
        </w:tc>
      </w:tr>
      <w:tr>
        <w:tc>
          <w:tcPr>
            <w:tcW w:type="dxa" w:w="2520"/>
            <w:vAlign w:val="top"/>
          </w:tcPr>
          <w:p>
            <w:r>
              <w:t>Behavior</w:t>
            </w:r>
          </w:p>
        </w:tc>
        <w:tc>
          <w:tcPr>
            <w:tcW w:type="dxa" w:w="2520"/>
            <w:vAlign w:val="top"/>
          </w:tcPr>
          <w:p>
            <w:r>
              <w:t>Users change choices</w:t>
            </w:r>
          </w:p>
        </w:tc>
        <w:tc>
          <w:tcPr>
            <w:tcW w:type="dxa" w:w="2520"/>
            <w:vAlign w:val="top"/>
          </w:tcPr>
          <w:p>
            <w:r>
              <w:t>Read-only insight</w:t>
            </w:r>
          </w:p>
        </w:tc>
        <w:tc>
          <w:tcPr>
            <w:tcW w:type="dxa" w:w="2520"/>
            <w:vAlign w:val="top"/>
          </w:tcPr>
          <w:p>
            <w:r>
              <w:t>No action</w:t>
            </w:r>
          </w:p>
        </w:tc>
      </w:tr>
      <w:tr>
        <w:tc>
          <w:tcPr>
            <w:tcW w:type="dxa" w:w="2520"/>
            <w:vAlign w:val="top"/>
          </w:tcPr>
          <w:p>
            <w:r>
              <w:t>Data</w:t>
            </w:r>
          </w:p>
        </w:tc>
        <w:tc>
          <w:tcPr>
            <w:tcW w:type="dxa" w:w="2520"/>
            <w:vAlign w:val="top"/>
          </w:tcPr>
          <w:p>
            <w:r>
              <w:t>Coverage improves</w:t>
            </w:r>
          </w:p>
        </w:tc>
        <w:tc>
          <w:tcPr>
            <w:tcW w:type="dxa" w:w="2520"/>
            <w:vAlign w:val="top"/>
          </w:tcPr>
          <w:p>
            <w:r>
              <w:t>Manual ops too expensive</w:t>
            </w:r>
          </w:p>
        </w:tc>
        <w:tc>
          <w:tcPr>
            <w:tcW w:type="dxa" w:w="2520"/>
            <w:vAlign w:val="top"/>
          </w:tcPr>
          <w:p>
            <w:r>
              <w:t>Cannot resolve core basket</w:t>
            </w:r>
          </w:p>
        </w:tc>
      </w:tr>
      <w:tr>
        <w:tc>
          <w:tcPr>
            <w:tcW w:type="dxa" w:w="2520"/>
            <w:vAlign w:val="top"/>
          </w:tcPr>
          <w:p>
            <w:r>
              <w:t>Economics</w:t>
            </w:r>
          </w:p>
        </w:tc>
        <w:tc>
          <w:tcPr>
            <w:tcW w:type="dxa" w:w="2520"/>
            <w:vAlign w:val="top"/>
          </w:tcPr>
          <w:p>
            <w:r>
              <w:t>Payer willingness</w:t>
            </w:r>
          </w:p>
        </w:tc>
        <w:tc>
          <w:tcPr>
            <w:tcW w:type="dxa" w:w="2520"/>
            <w:vAlign w:val="top"/>
          </w:tcPr>
          <w:p>
            <w:r>
              <w:t>Only one model works</w:t>
            </w:r>
          </w:p>
        </w:tc>
        <w:tc>
          <w:tcPr>
            <w:tcW w:type="dxa" w:w="2520"/>
            <w:vAlign w:val="top"/>
          </w:tcPr>
          <w:p>
            <w:r>
              <w:t>No sustainable payer</w:t>
            </w:r>
          </w:p>
        </w:tc>
      </w:tr>
      <w:tr>
        <w:tc>
          <w:tcPr>
            <w:tcW w:type="dxa" w:w="2520"/>
            <w:vAlign w:val="top"/>
          </w:tcPr>
          <w:p>
            <w:r>
              <w:t>Trust</w:t>
            </w:r>
          </w:p>
        </w:tc>
        <w:tc>
          <w:tcPr>
            <w:tcW w:type="dxa" w:w="2520"/>
            <w:vAlign w:val="top"/>
          </w:tcPr>
          <w:p>
            <w:r>
              <w:t>Low disputes</w:t>
            </w:r>
          </w:p>
        </w:tc>
        <w:tc>
          <w:tcPr>
            <w:tcW w:type="dxa" w:w="2520"/>
            <w:vAlign w:val="top"/>
          </w:tcPr>
          <w:p>
            <w:r>
              <w:t>Need stronger evidence UX</w:t>
            </w:r>
          </w:p>
        </w:tc>
        <w:tc>
          <w:tcPr>
            <w:tcW w:type="dxa" w:w="2520"/>
            <w:vAlign w:val="top"/>
          </w:tcPr>
          <w:p>
            <w:r>
              <w:t>High credibility failures</w:t>
            </w:r>
          </w:p>
        </w:tc>
      </w:tr>
    </w:tbl>
    <w:p>
      <w:pPr>
        <w:pStyle w:val="Heading1"/>
      </w:pPr>
      <w:r>
        <w:t>7. Competitive response</w:t>
      </w:r>
    </w:p>
    <w:p>
      <w:r>
        <w:t>Assume incumbents can copy visible features. Build around workflow, trust, data provenance, household context and distribution. Do not rely on “AI scanner” or “family profile” as unique features.</w:t>
      </w:r>
    </w:p>
    <w:p>
      <w:pPr>
        <w:pStyle w:val="Heading1"/>
      </w:pPr>
      <w:r>
        <w:t>8. Investor narrative</w:t>
      </w:r>
    </w:p>
    <w:p>
      <w:r>
        <w:t>The strongest narrative is not “an AI food scanner.” It is “a decision layer between households and food purchases.” The company starts with packaged-food intelligence and expands into basket optimization, household context, and measurable food behavior change. Market, disease burden and policy context are supported by S1–S3; retention risk is supported by S6.</w:t>
      </w:r>
    </w:p>
    <w:p>
      <w:pPr>
        <w:pStyle w:val="Heading1"/>
      </w:pPr>
      <w:r>
        <w:t>Research sources</w:t>
      </w:r>
    </w:p>
    <w:p>
      <w:r>
        <w:t>The following sources underpin market, regulatory and product assumptions. Claims should be re-checked at release because regulations, competitor features and product data can change.</w:t>
      </w:r>
    </w:p>
    <w:p>
      <w:pPr>
        <w:pStyle w:val="ListNumber"/>
      </w:pPr>
      <w:r>
        <w:rPr>
          <w:b/>
        </w:rPr>
        <w:t xml:space="preserve">S1 — ICMR-INDIAB / The Lancet Diabetes &amp; Endocrinology (2023). </w:t>
      </w:r>
      <w:r>
        <w:t xml:space="preserve">National prevalence of diabetes, prediabetes, hypertension, obesity and dyslipidaemia in India. </w:t>
      </w:r>
      <w:hyperlink r:id="rId9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S2 — MoSPI Household Consumption Expenditure Survey 2023-24. </w:t>
      </w:r>
      <w:r>
        <w:t xml:space="preserve">Official household consumption/expenditure survey and household-level consumption context. </w:t>
      </w:r>
      <w:hyperlink r:id="rId10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S3 — FSSAI / Supreme Court order, 10 Feb 2026. </w:t>
      </w:r>
      <w:r>
        <w:t xml:space="preserve">Indian Nutrition Rating and front-of-pack nutrition labelling context. </w:t>
      </w:r>
      <w:hyperlink r:id="rId11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S4 — MeitY Digital Personal Data Protection Act 2023. </w:t>
      </w:r>
      <w:r>
        <w:t xml:space="preserve">Child personal data, verifiable parental consent, restrictions on tracking/behavioural monitoring. </w:t>
      </w:r>
      <w:hyperlink r:id="rId12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S5 — MeitY Digital Personal Data Protection Rules 2025. </w:t>
      </w:r>
      <w:r>
        <w:t xml:space="preserve">Current DPDP Rules and implementation context, including verifiable consent mechanisms. </w:t>
      </w:r>
      <w:hyperlink r:id="rId13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S6 — JMIR 2024 scoping review of health-app discontinuation. </w:t>
      </w:r>
      <w:r>
        <w:t xml:space="preserve">Evidence on health/diet app abandonment and sustained tracking challenges. </w:t>
      </w:r>
      <w:hyperlink r:id="rId14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S7 — Yuka – press / social impact. </w:t>
      </w:r>
      <w:r>
        <w:t xml:space="preserve">Scale, product model, independence/trust positioning. </w:t>
      </w:r>
      <w:hyperlink r:id="rId15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S8 — Open Food Facts – India milestone. </w:t>
      </w:r>
      <w:r>
        <w:t xml:space="preserve">Illustrates current crowd-sourced Indian packaged-food database scale. </w:t>
      </w:r>
      <w:hyperlink r:id="rId16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S9 — HealthifyMe. </w:t>
      </w:r>
      <w:r>
        <w:t xml:space="preserve">Indian food/AI tracking and consumer-health positioning. </w:t>
      </w:r>
      <w:hyperlink r:id="rId17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S10 — GS1 India Smart Consumer. </w:t>
      </w:r>
      <w:r>
        <w:t xml:space="preserve">Product/consumer information infrastructure in India. </w:t>
      </w:r>
      <w:hyperlink r:id="rId18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S11 — WHO India / ICRIER – Growth of Ultra-Processed Foods in India (2023). </w:t>
      </w:r>
      <w:r>
        <w:t xml:space="preserve">Growth of India’s UPF retail sector and category context. </w:t>
      </w:r>
      <w:hyperlink r:id="rId19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S12 — ICMR-NIN Dietary Guidelines for Indians 2024. </w:t>
      </w:r>
      <w:r>
        <w:t xml:space="preserve">Indian dietary guidance including added-sugar and balanced-diet context. </w:t>
      </w:r>
      <w:hyperlink r:id="rId20">
        <w:r>
          <w:rPr>
            <w:color w:val="0563C1"/>
            <w:u w:val="single"/>
          </w:rPr>
          <w:t>Source</w:t>
        </w:r>
      </w:hyperlink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16/S2213-8587(23)00119-5" TargetMode="External"/><Relationship Id="rId10" Type="http://schemas.openxmlformats.org/officeDocument/2006/relationships/hyperlink" Target="https://www.mospi.gov.in/sites/default/files/publication_reports/HCES%20FactSheet%202023-24.pdf" TargetMode="External"/><Relationship Id="rId11" Type="http://schemas.openxmlformats.org/officeDocument/2006/relationships/hyperlink" Target="https://api.sci.gov.in/supremecourt/2025/35988/35988_2025_6_12_68509_Order_10-Feb-2026.pdf" TargetMode="External"/><Relationship Id="rId12" Type="http://schemas.openxmlformats.org/officeDocument/2006/relationships/hyperlink" Target="https://www.meity.gov.in/static/uploads/2024/02/Digital-Personal-Data-Protection-Act-2023.pdf" TargetMode="External"/><Relationship Id="rId13" Type="http://schemas.openxmlformats.org/officeDocument/2006/relationships/hyperlink" Target="https://www.meity.gov.in/documents/act-and-policies/digital-personal-data-protection-rules-2025" TargetMode="External"/><Relationship Id="rId14" Type="http://schemas.openxmlformats.org/officeDocument/2006/relationships/hyperlink" Target="https://www.jmir.org/2024/1/e56897" TargetMode="External"/><Relationship Id="rId15" Type="http://schemas.openxmlformats.org/officeDocument/2006/relationships/hyperlink" Target="https://yuka.io/en/press/" TargetMode="External"/><Relationship Id="rId16" Type="http://schemas.openxmlformats.org/officeDocument/2006/relationships/hyperlink" Target="https://blog.openfoodfacts.org/en/news/open-food-facts-india-database-reaches-10k-product-milestone" TargetMode="External"/><Relationship Id="rId17" Type="http://schemas.openxmlformats.org/officeDocument/2006/relationships/hyperlink" Target="https://www.healthifyme.com/" TargetMode="External"/><Relationship Id="rId18" Type="http://schemas.openxmlformats.org/officeDocument/2006/relationships/hyperlink" Target="https://www.gs1india.org/services/smart-consumer" TargetMode="External"/><Relationship Id="rId19" Type="http://schemas.openxmlformats.org/officeDocument/2006/relationships/hyperlink" Target="https://www.icrier.org/pdf/UPF_Report_2023.pdf" TargetMode="External"/><Relationship Id="rId20" Type="http://schemas.openxmlformats.org/officeDocument/2006/relationships/hyperlink" Target="https://www.nin.res.in/downloads/DietaryGuidelinesforNINwebsit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