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Scoring Methodology &amp; Evidence Specification</w:t>
      </w:r>
    </w:p>
    <w:p>
      <w:pPr>
        <w:jc w:val="center"/>
      </w:pPr>
      <w:r>
        <w:rPr>
          <w:i/>
          <w:sz w:val="22"/>
        </w:rPr>
        <w:t>How product health, personal fit and recommendations are governed</w:t>
      </w:r>
    </w:p>
    <w:p>
      <w:pPr>
        <w:jc w:val="center"/>
      </w:pPr>
      <w:r>
        <w:rPr>
          <w:sz w:val="18"/>
        </w:rPr>
        <w:t>v0.1 | 05 Sep 2026</w:t>
      </w:r>
    </w:p>
    <w:p>
      <w:pPr>
        <w:pStyle w:val="Heading1"/>
      </w:pPr>
      <w:r>
        <w:t>1. Objective</w:t>
      </w:r>
    </w:p>
    <w:p>
      <w:r>
        <w:t>Provide an auditable, category-aware and versioned scoring system that simplifies food information without pretending to diagnose health or make unsupported claims.</w:t>
      </w:r>
    </w:p>
    <w:p>
      <w:pPr>
        <w:pStyle w:val="Heading1"/>
      </w:pPr>
      <w:r>
        <w:t>2. Score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top"/>
          </w:tcPr>
          <w:p>
            <w:r>
              <w:t>Layer</w:t>
            </w:r>
          </w:p>
        </w:tc>
        <w:tc>
          <w:tcPr>
            <w:tcW w:type="dxa" w:w="3360"/>
            <w:shd w:fill="D9EAF7"/>
            <w:vAlign w:val="top"/>
          </w:tcPr>
          <w:p>
            <w:r>
              <w:t>Purpose</w:t>
            </w:r>
          </w:p>
        </w:tc>
        <w:tc>
          <w:tcPr>
            <w:tcW w:type="dxa" w:w="3360"/>
            <w:shd w:fill="D9EAF7"/>
            <w:vAlign w:val="top"/>
          </w:tcPr>
          <w:p>
            <w:r>
              <w:t>Output</w:t>
            </w:r>
          </w:p>
        </w:tc>
      </w:tr>
      <w:tr>
        <w:tc>
          <w:tcPr>
            <w:tcW w:type="dxa" w:w="3360"/>
            <w:vAlign w:val="top"/>
          </w:tcPr>
          <w:p>
            <w:r>
              <w:t>Product Health Score</w:t>
            </w:r>
          </w:p>
        </w:tc>
        <w:tc>
          <w:tcPr>
            <w:tcW w:type="dxa" w:w="3360"/>
            <w:vAlign w:val="top"/>
          </w:tcPr>
          <w:p>
            <w:r>
              <w:t>General nutritional/ingredient interpretation independent of identity</w:t>
            </w:r>
          </w:p>
        </w:tc>
        <w:tc>
          <w:tcPr>
            <w:tcW w:type="dxa" w:w="3360"/>
            <w:vAlign w:val="top"/>
          </w:tcPr>
          <w:p>
            <w:r>
              <w:t>0–100 or grade</w:t>
            </w:r>
          </w:p>
        </w:tc>
      </w:tr>
      <w:tr>
        <w:tc>
          <w:tcPr>
            <w:tcW w:type="dxa" w:w="3360"/>
            <w:vAlign w:val="top"/>
          </w:tcPr>
          <w:p>
            <w:r>
              <w:t>Personal Fit</w:t>
            </w:r>
          </w:p>
        </w:tc>
        <w:tc>
          <w:tcPr>
            <w:tcW w:type="dxa" w:w="3360"/>
            <w:vAlign w:val="top"/>
          </w:tcPr>
          <w:p>
            <w:r>
              <w:t>Maps product properties to selected user goals/preferences/constraints</w:t>
            </w:r>
          </w:p>
        </w:tc>
        <w:tc>
          <w:tcPr>
            <w:tcW w:type="dxa" w:w="3360"/>
            <w:vAlign w:val="top"/>
          </w:tcPr>
          <w:p>
            <w:r>
              <w:t>Good / occasional / limit / conflict</w:t>
            </w:r>
          </w:p>
        </w:tc>
      </w:tr>
      <w:tr>
        <w:tc>
          <w:tcPr>
            <w:tcW w:type="dxa" w:w="3360"/>
            <w:vAlign w:val="top"/>
          </w:tcPr>
          <w:p>
            <w:r>
              <w:t>Household Fit</w:t>
            </w:r>
          </w:p>
        </w:tc>
        <w:tc>
          <w:tcPr>
            <w:tcW w:type="dxa" w:w="3360"/>
            <w:vAlign w:val="top"/>
          </w:tcPr>
          <w:p>
            <w:r>
              <w:t>Summarizes fit across eligible household members</w:t>
            </w:r>
          </w:p>
        </w:tc>
        <w:tc>
          <w:tcPr>
            <w:tcW w:type="dxa" w:w="3360"/>
            <w:vAlign w:val="top"/>
          </w:tcPr>
          <w:p>
            <w:r>
              <w:t>Household recommendation</w:t>
            </w:r>
          </w:p>
        </w:tc>
      </w:tr>
      <w:tr>
        <w:tc>
          <w:tcPr>
            <w:tcW w:type="dxa" w:w="3360"/>
            <w:vAlign w:val="top"/>
          </w:tcPr>
          <w:p>
            <w:r>
              <w:t>Basket Score (later)</w:t>
            </w:r>
          </w:p>
        </w:tc>
        <w:tc>
          <w:tcPr>
            <w:tcW w:type="dxa" w:w="3360"/>
            <w:vAlign w:val="top"/>
          </w:tcPr>
          <w:p>
            <w:r>
              <w:t>Evaluates a shopping basket and substitution opportunities</w:t>
            </w:r>
          </w:p>
        </w:tc>
        <w:tc>
          <w:tcPr>
            <w:tcW w:type="dxa" w:w="3360"/>
            <w:vAlign w:val="top"/>
          </w:tcPr>
          <w:p>
            <w:r>
              <w:t>Basket quality + changes</w:t>
            </w:r>
          </w:p>
        </w:tc>
      </w:tr>
    </w:tbl>
    <w:p>
      <w:pPr>
        <w:pStyle w:val="Heading1"/>
      </w:pPr>
      <w:r>
        <w:t>3. Required dimensions</w:t>
      </w:r>
    </w:p>
    <w:p>
      <w:pPr>
        <w:pStyle w:val="ListBullet"/>
      </w:pPr>
      <w:r>
        <w:t>Added/free/total sugar (explicitly distinguished).</w:t>
      </w:r>
    </w:p>
    <w:p>
      <w:pPr>
        <w:pStyle w:val="ListBullet"/>
      </w:pPr>
      <w:r>
        <w:t>Sodium/salt.</w:t>
      </w:r>
    </w:p>
    <w:p>
      <w:pPr>
        <w:pStyle w:val="ListBullet"/>
      </w:pPr>
      <w:r>
        <w:t>Saturated fat and trans fat where available.</w:t>
      </w:r>
    </w:p>
    <w:p>
      <w:pPr>
        <w:pStyle w:val="ListBullet"/>
      </w:pPr>
      <w:r>
        <w:t>Energy density.</w:t>
      </w:r>
    </w:p>
    <w:p>
      <w:pPr>
        <w:pStyle w:val="ListBullet"/>
      </w:pPr>
      <w:r>
        <w:t>Protein.</w:t>
      </w:r>
    </w:p>
    <w:p>
      <w:pPr>
        <w:pStyle w:val="ListBullet"/>
      </w:pPr>
      <w:r>
        <w:t>Fibre.</w:t>
      </w:r>
    </w:p>
    <w:p>
      <w:pPr>
        <w:pStyle w:val="ListBullet"/>
      </w:pPr>
      <w:r>
        <w:t>Relevant micronutrients only where data quality is sufficient.</w:t>
      </w:r>
    </w:p>
    <w:p>
      <w:pPr>
        <w:pStyle w:val="ListBullet"/>
      </w:pPr>
      <w:r>
        <w:t>Ingredient/allergen signals.</w:t>
      </w:r>
    </w:p>
    <w:p>
      <w:pPr>
        <w:pStyle w:val="ListBullet"/>
      </w:pPr>
      <w:r>
        <w:t>Processing classification where scientifically appropriate.</w:t>
      </w:r>
    </w:p>
    <w:p>
      <w:pPr>
        <w:pStyle w:val="ListBullet"/>
      </w:pPr>
      <w:r>
        <w:t>Category context and serving-size normalization.</w:t>
      </w:r>
    </w:p>
    <w:p>
      <w:pPr>
        <w:pStyle w:val="Heading1"/>
      </w:pPr>
      <w:r>
        <w:t>4. Evidence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top"/>
          </w:tcPr>
          <w:p>
            <w:r>
              <w:t>Level</w:t>
            </w:r>
          </w:p>
        </w:tc>
        <w:tc>
          <w:tcPr>
            <w:tcW w:type="dxa" w:w="3360"/>
            <w:shd w:fill="D9EAF7"/>
            <w:vAlign w:val="top"/>
          </w:tcPr>
          <w:p>
            <w:r>
              <w:t>Evidence</w:t>
            </w:r>
          </w:p>
        </w:tc>
        <w:tc>
          <w:tcPr>
            <w:tcW w:type="dxa" w:w="3360"/>
            <w:shd w:fill="D9EAF7"/>
            <w:vAlign w:val="top"/>
          </w:tcPr>
          <w:p>
            <w:r>
              <w:t>Use</w:t>
            </w:r>
          </w:p>
        </w:tc>
      </w:tr>
      <w:tr>
        <w:tc>
          <w:tcPr>
            <w:tcW w:type="dxa" w:w="3360"/>
            <w:vAlign w:val="top"/>
          </w:tcPr>
          <w:p>
            <w:r>
              <w:t>A</w:t>
            </w:r>
          </w:p>
        </w:tc>
        <w:tc>
          <w:tcPr>
            <w:tcW w:type="dxa" w:w="3360"/>
            <w:vAlign w:val="top"/>
          </w:tcPr>
          <w:p>
            <w:r>
              <w:t>Government/regulator/official dietary guidance/systematic reviews</w:t>
            </w:r>
          </w:p>
        </w:tc>
        <w:tc>
          <w:tcPr>
            <w:tcW w:type="dxa" w:w="3360"/>
            <w:vAlign w:val="top"/>
          </w:tcPr>
          <w:p>
            <w:r>
              <w:t>Primary rules and high-impact claims</w:t>
            </w:r>
          </w:p>
        </w:tc>
      </w:tr>
      <w:tr>
        <w:tc>
          <w:tcPr>
            <w:tcW w:type="dxa" w:w="3360"/>
            <w:vAlign w:val="top"/>
          </w:tcPr>
          <w:p>
            <w:r>
              <w:t>B</w:t>
            </w:r>
          </w:p>
        </w:tc>
        <w:tc>
          <w:tcPr>
            <w:tcW w:type="dxa" w:w="3360"/>
            <w:vAlign w:val="top"/>
          </w:tcPr>
          <w:p>
            <w:r>
              <w:t>High-quality peer-reviewed research</w:t>
            </w:r>
          </w:p>
        </w:tc>
        <w:tc>
          <w:tcPr>
            <w:tcW w:type="dxa" w:w="3360"/>
            <w:vAlign w:val="top"/>
          </w:tcPr>
          <w:p>
            <w:r>
              <w:t>Supporting rules and context</w:t>
            </w:r>
          </w:p>
        </w:tc>
      </w:tr>
      <w:tr>
        <w:tc>
          <w:tcPr>
            <w:tcW w:type="dxa" w:w="3360"/>
            <w:vAlign w:val="top"/>
          </w:tcPr>
          <w:p>
            <w:r>
              <w:t>C</w:t>
            </w:r>
          </w:p>
        </w:tc>
        <w:tc>
          <w:tcPr>
            <w:tcW w:type="dxa" w:w="3360"/>
            <w:vAlign w:val="top"/>
          </w:tcPr>
          <w:p>
            <w:r>
              <w:t>Emerging/limited evidence</w:t>
            </w:r>
          </w:p>
        </w:tc>
        <w:tc>
          <w:tcPr>
            <w:tcW w:type="dxa" w:w="3360"/>
            <w:vAlign w:val="top"/>
          </w:tcPr>
          <w:p>
            <w:r>
              <w:t>Disclose uncertainty; do not drive strong warnings alone</w:t>
            </w:r>
          </w:p>
        </w:tc>
      </w:tr>
      <w:tr>
        <w:tc>
          <w:tcPr>
            <w:tcW w:type="dxa" w:w="3360"/>
            <w:vAlign w:val="top"/>
          </w:tcPr>
          <w:p>
            <w:r>
              <w:t>D</w:t>
            </w:r>
          </w:p>
        </w:tc>
        <w:tc>
          <w:tcPr>
            <w:tcW w:type="dxa" w:w="3360"/>
            <w:vAlign w:val="top"/>
          </w:tcPr>
          <w:p>
            <w:r>
              <w:t>Anecdotal/marketing/community</w:t>
            </w:r>
          </w:p>
        </w:tc>
        <w:tc>
          <w:tcPr>
            <w:tcW w:type="dxa" w:w="3360"/>
            <w:vAlign w:val="top"/>
          </w:tcPr>
          <w:p>
            <w:r>
              <w:t>Do not drive health claims</w:t>
            </w:r>
          </w:p>
        </w:tc>
      </w:tr>
    </w:tbl>
    <w:p>
      <w:pPr>
        <w:pStyle w:val="Heading1"/>
      </w:pPr>
      <w:r>
        <w:t>5. Rule governance</w:t>
      </w:r>
    </w:p>
    <w:p>
      <w:pPr>
        <w:pStyle w:val="ListBullet"/>
      </w:pPr>
      <w:r>
        <w:t>Every rule has owner, rationale, evidence sources, jurisdiction, category scope, effective date and review date.</w:t>
      </w:r>
    </w:p>
    <w:p>
      <w:pPr>
        <w:pStyle w:val="ListBullet"/>
      </w:pPr>
      <w:r>
        <w:t>Every score stores the rule-set version.</w:t>
      </w:r>
    </w:p>
    <w:p>
      <w:pPr>
        <w:pStyle w:val="ListBullet"/>
      </w:pPr>
      <w:r>
        <w:t>Changes require nutrition/science review plus regression tests.</w:t>
      </w:r>
    </w:p>
    <w:p>
      <w:pPr>
        <w:pStyle w:val="ListBullet"/>
      </w:pPr>
      <w:r>
        <w:t>No rule may be added solely because an LLM labels an ingredient “bad.”</w:t>
      </w:r>
    </w:p>
    <w:p>
      <w:pPr>
        <w:pStyle w:val="ListBullet"/>
      </w:pPr>
      <w:r>
        <w:t>Consumer-facing explanation must distinguish fact, inference and uncertainty.</w:t>
      </w:r>
    </w:p>
    <w:p>
      <w:pPr>
        <w:pStyle w:val="Heading1"/>
      </w:pPr>
      <w:r>
        <w:t>6. Personal-fit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top"/>
          </w:tcPr>
          <w:p>
            <w:r>
              <w:t>Profile input</w:t>
            </w:r>
          </w:p>
        </w:tc>
        <w:tc>
          <w:tcPr>
            <w:tcW w:type="dxa" w:w="5040"/>
            <w:shd w:fill="D9EAF7"/>
            <w:vAlign w:val="top"/>
          </w:tcPr>
          <w:p>
            <w:r>
              <w:t>Permitted product behavior</w:t>
            </w:r>
          </w:p>
        </w:tc>
      </w:tr>
      <w:tr>
        <w:tc>
          <w:tcPr>
            <w:tcW w:type="dxa" w:w="5040"/>
            <w:vAlign w:val="top"/>
          </w:tcPr>
          <w:p>
            <w:r>
              <w:t>Diet preference</w:t>
            </w:r>
          </w:p>
        </w:tc>
        <w:tc>
          <w:tcPr>
            <w:tcW w:type="dxa" w:w="5040"/>
            <w:vAlign w:val="top"/>
          </w:tcPr>
          <w:p>
            <w:r>
              <w:t>Filter/rank compatible products</w:t>
            </w:r>
          </w:p>
        </w:tc>
      </w:tr>
      <w:tr>
        <w:tc>
          <w:tcPr>
            <w:tcW w:type="dxa" w:w="5040"/>
            <w:vAlign w:val="top"/>
          </w:tcPr>
          <w:p>
            <w:r>
              <w:t>Declared allergen</w:t>
            </w:r>
          </w:p>
        </w:tc>
        <w:tc>
          <w:tcPr>
            <w:tcW w:type="dxa" w:w="5040"/>
            <w:vAlign w:val="top"/>
          </w:tcPr>
          <w:p>
            <w:r>
              <w:t>Strong safety alert based on verified label data</w:t>
            </w:r>
          </w:p>
        </w:tc>
      </w:tr>
      <w:tr>
        <w:tc>
          <w:tcPr>
            <w:tcW w:type="dxa" w:w="5040"/>
            <w:vAlign w:val="top"/>
          </w:tcPr>
          <w:p>
            <w:r>
              <w:t>Goal: reduce added sugar</w:t>
            </w:r>
          </w:p>
        </w:tc>
        <w:tc>
          <w:tcPr>
            <w:tcW w:type="dxa" w:w="5040"/>
            <w:vAlign w:val="top"/>
          </w:tcPr>
          <w:p>
            <w:r>
              <w:t>Prioritize lower-added-sugar options</w:t>
            </w:r>
          </w:p>
        </w:tc>
      </w:tr>
      <w:tr>
        <w:tc>
          <w:tcPr>
            <w:tcW w:type="dxa" w:w="5040"/>
            <w:vAlign w:val="top"/>
          </w:tcPr>
          <w:p>
            <w:r>
              <w:t>Goal: reduce sodium</w:t>
            </w:r>
          </w:p>
        </w:tc>
        <w:tc>
          <w:tcPr>
            <w:tcW w:type="dxa" w:w="5040"/>
            <w:vAlign w:val="top"/>
          </w:tcPr>
          <w:p>
            <w:r>
              <w:t>Prioritize lower-sodium options</w:t>
            </w:r>
          </w:p>
        </w:tc>
      </w:tr>
      <w:tr>
        <w:tc>
          <w:tcPr>
            <w:tcW w:type="dxa" w:w="5040"/>
            <w:vAlign w:val="top"/>
          </w:tcPr>
          <w:p>
            <w:r>
              <w:t>Medical condition</w:t>
            </w:r>
          </w:p>
        </w:tc>
        <w:tc>
          <w:tcPr>
            <w:tcW w:type="dxa" w:w="5040"/>
            <w:vAlign w:val="top"/>
          </w:tcPr>
          <w:p>
            <w:r>
              <w:t>Only where validated, counsel-reviewed rule exists; otherwise phrase as dietary consideration</w:t>
            </w:r>
          </w:p>
        </w:tc>
      </w:tr>
    </w:tbl>
    <w:p>
      <w:pPr>
        <w:pStyle w:val="Heading1"/>
      </w:pPr>
      <w:r>
        <w:t>7. Explainability template</w:t>
      </w:r>
    </w:p>
    <w:p>
      <w:r>
        <w:t>Result → key reasons → relevant numbers → comparison/alternative → source/evidence → uncertainty/disclaimer. Avoid labels such as “toxic,” “clean,” or “safe for everyone.”</w:t>
      </w:r>
    </w:p>
    <w:p>
      <w:pPr>
        <w:pStyle w:val="Heading1"/>
      </w:pPr>
      <w:r>
        <w:t>Sources</w:t>
      </w:r>
    </w:p>
    <w:p>
      <w:pPr>
        <w:pStyle w:val="ListNumber"/>
      </w:pPr>
      <w:r>
        <w:rPr>
          <w:b/>
        </w:rPr>
        <w:t xml:space="preserve">S1 — ICMR-INDIAB / The Lancet Diabetes &amp; Endocrinology (2023). </w:t>
      </w:r>
      <w:r>
        <w:t>https://doi.org/10.1016/S2213-8587(23)00119-5</w:t>
      </w:r>
    </w:p>
    <w:p>
      <w:pPr>
        <w:pStyle w:val="ListNumber"/>
      </w:pPr>
      <w:r>
        <w:rPr>
          <w:b/>
        </w:rPr>
        <w:t xml:space="preserve">S2 — MoSPI HCES 2023-24. </w:t>
      </w:r>
      <w:r>
        <w:t>https://www.mospi.gov.in/sites/default/files/publication_reports/HCES%20FactSheet%202023-24.pdf</w:t>
      </w:r>
    </w:p>
    <w:p>
      <w:pPr>
        <w:pStyle w:val="ListNumber"/>
      </w:pPr>
      <w:r>
        <w:rPr>
          <w:b/>
        </w:rPr>
        <w:t xml:space="preserve">S3 — FSSAI / Supreme Court order 10 Feb 2026. </w:t>
      </w:r>
      <w:r>
        <w:t>https://api.sci.gov.in/supremecourt/2025/35988/35988_2025_6_12_68509_Order_10-Feb-2026.pdf</w:t>
      </w:r>
    </w:p>
    <w:p>
      <w:pPr>
        <w:pStyle w:val="ListNumber"/>
      </w:pPr>
      <w:r>
        <w:rPr>
          <w:b/>
        </w:rPr>
        <w:t xml:space="preserve">S4 — DPDP Act 2023. </w:t>
      </w:r>
      <w:r>
        <w:t>https://www.meity.gov.in/static/uploads/2024/02/Digital-Personal-Data-Protection-Act-2023.pdf</w:t>
      </w:r>
    </w:p>
    <w:p>
      <w:pPr>
        <w:pStyle w:val="ListNumber"/>
      </w:pPr>
      <w:r>
        <w:rPr>
          <w:b/>
        </w:rPr>
        <w:t xml:space="preserve">S5 — DPDP Rules 2025. </w:t>
      </w:r>
      <w:r>
        <w:t>https://www.meity.gov.in/documents/act-and-policies/digital-personal-data-protection-rules-2025</w:t>
      </w:r>
    </w:p>
    <w:p>
      <w:pPr>
        <w:pStyle w:val="ListNumber"/>
      </w:pPr>
      <w:r>
        <w:rPr>
          <w:b/>
        </w:rPr>
        <w:t xml:space="preserve">S6 — JMIR health-app discontinuation review. </w:t>
      </w:r>
      <w:r>
        <w:t>https://www.jmir.org/2024/1/e56897</w:t>
      </w:r>
    </w:p>
    <w:p>
      <w:pPr>
        <w:pStyle w:val="ListNumber"/>
      </w:pPr>
      <w:r>
        <w:rPr>
          <w:b/>
        </w:rPr>
        <w:t xml:space="preserve">S7 — Yuka press/social impact. </w:t>
      </w:r>
      <w:r>
        <w:t>https://yuka.io/en/press/</w:t>
      </w:r>
    </w:p>
    <w:p>
      <w:pPr>
        <w:pStyle w:val="ListNumber"/>
      </w:pPr>
      <w:r>
        <w:rPr>
          <w:b/>
        </w:rPr>
        <w:t xml:space="preserve">S8 — Open Food Facts India milestone. </w:t>
      </w:r>
      <w:r>
        <w:t>https://blog.openfoodfacts.org/en/news/open-food-facts-india-database-reaches-10k-product-milestone</w:t>
      </w:r>
    </w:p>
    <w:p>
      <w:pPr>
        <w:pStyle w:val="ListNumber"/>
      </w:pPr>
      <w:r>
        <w:rPr>
          <w:b/>
        </w:rPr>
        <w:t xml:space="preserve">S9 — HealthifyMe. </w:t>
      </w:r>
      <w:r>
        <w:t>https://www.healthifyme.com/</w:t>
      </w:r>
    </w:p>
    <w:p>
      <w:pPr>
        <w:pStyle w:val="ListNumber"/>
      </w:pPr>
      <w:r>
        <w:rPr>
          <w:b/>
        </w:rPr>
        <w:t xml:space="preserve">S10 — GS1 India Smart Consumer. </w:t>
      </w:r>
      <w:r>
        <w:t>https://www.gs1india.org/services/smart-consumer</w:t>
      </w:r>
    </w:p>
    <w:p>
      <w:pPr>
        <w:pStyle w:val="ListNumber"/>
      </w:pPr>
      <w:r>
        <w:rPr>
          <w:b/>
        </w:rPr>
        <w:t xml:space="preserve">S11 — WHO India/ICRIER UPF report 2023. </w:t>
      </w:r>
      <w:r>
        <w:t>https://www.icrier.org/pdf/UPF_Report_2023.pdf</w:t>
      </w:r>
    </w:p>
    <w:p>
      <w:pPr>
        <w:pStyle w:val="ListNumber"/>
      </w:pPr>
      <w:r>
        <w:rPr>
          <w:b/>
        </w:rPr>
        <w:t xml:space="preserve">S12 — ICMR-NIN Dietary Guidelines for Indians 2024. </w:t>
      </w:r>
      <w:r>
        <w:t>https://www.nin.res.in/downloads/DietaryGuidelinesforNINwebsite.pdf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