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Data Operations SOP</w:t>
      </w:r>
    </w:p>
    <w:p>
      <w:pPr>
        <w:jc w:val="center"/>
      </w:pPr>
      <w:r>
        <w:rPr>
          <w:i/>
          <w:sz w:val="22"/>
        </w:rPr>
        <w:t>Collection, verification, freshness and correction process for Indian food products</w:t>
      </w:r>
    </w:p>
    <w:p>
      <w:pPr>
        <w:jc w:val="center"/>
      </w:pPr>
      <w:r>
        <w:rPr>
          <w:sz w:val="18"/>
        </w:rPr>
        <w:t>v0.1 | 05 Sep 2026</w:t>
      </w:r>
    </w:p>
    <w:p>
      <w:pPr>
        <w:pStyle w:val="Heading1"/>
      </w:pPr>
      <w:r>
        <w:t>1. Objective</w:t>
      </w:r>
    </w:p>
    <w:p>
      <w:r>
        <w:t>Maintain a reliable Indian packaged-food catalog with traceable evidence and predictable freshness without assuming that barcode data alone is sufficient.</w:t>
      </w:r>
    </w:p>
    <w:p>
      <w:pPr>
        <w:pStyle w:val="Heading1"/>
      </w:pPr>
      <w:r>
        <w:t>2.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top"/>
          </w:tcPr>
          <w:p>
            <w:r>
              <w:t>Source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Role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Control</w:t>
            </w:r>
          </w:p>
        </w:tc>
      </w:tr>
      <w:tr>
        <w:tc>
          <w:tcPr>
            <w:tcW w:type="dxa" w:w="3360"/>
            <w:vAlign w:val="top"/>
          </w:tcPr>
          <w:p>
            <w:r>
              <w:t>Manufacturer/label image</w:t>
            </w:r>
          </w:p>
        </w:tc>
        <w:tc>
          <w:tcPr>
            <w:tcW w:type="dxa" w:w="3360"/>
            <w:vAlign w:val="top"/>
          </w:tcPr>
          <w:p>
            <w:r>
              <w:t>Highest-value primary evidence</w:t>
            </w:r>
          </w:p>
        </w:tc>
        <w:tc>
          <w:tcPr>
            <w:tcW w:type="dxa" w:w="3360"/>
            <w:vAlign w:val="top"/>
          </w:tcPr>
          <w:p>
            <w:r>
              <w:t>Verify version/date</w:t>
            </w:r>
          </w:p>
        </w:tc>
      </w:tr>
      <w:tr>
        <w:tc>
          <w:tcPr>
            <w:tcW w:type="dxa" w:w="3360"/>
            <w:vAlign w:val="top"/>
          </w:tcPr>
          <w:p>
            <w:r>
              <w:t>GS1/product infrastructure</w:t>
            </w:r>
          </w:p>
        </w:tc>
        <w:tc>
          <w:tcPr>
            <w:tcW w:type="dxa" w:w="3360"/>
            <w:vAlign w:val="top"/>
          </w:tcPr>
          <w:p>
            <w:r>
              <w:t>Identity and product mapping</w:t>
            </w:r>
          </w:p>
        </w:tc>
        <w:tc>
          <w:tcPr>
            <w:tcW w:type="dxa" w:w="3360"/>
            <w:vAlign w:val="top"/>
          </w:tcPr>
          <w:p>
            <w:r>
              <w:t>Do not assume nutrition completeness</w:t>
            </w:r>
          </w:p>
        </w:tc>
      </w:tr>
      <w:tr>
        <w:tc>
          <w:tcPr>
            <w:tcW w:type="dxa" w:w="3360"/>
            <w:vAlign w:val="top"/>
          </w:tcPr>
          <w:p>
            <w:r>
              <w:t>Open Food Facts</w:t>
            </w:r>
          </w:p>
        </w:tc>
        <w:tc>
          <w:tcPr>
            <w:tcW w:type="dxa" w:w="3360"/>
            <w:vAlign w:val="top"/>
          </w:tcPr>
          <w:p>
            <w:r>
              <w:t>Coverage and discovery</w:t>
            </w:r>
          </w:p>
        </w:tc>
        <w:tc>
          <w:tcPr>
            <w:tcW w:type="dxa" w:w="3360"/>
            <w:vAlign w:val="top"/>
          </w:tcPr>
          <w:p>
            <w:r>
              <w:t>Respect license/API conditions; validate before high-stakes use</w:t>
            </w:r>
          </w:p>
        </w:tc>
      </w:tr>
      <w:tr>
        <w:tc>
          <w:tcPr>
            <w:tcW w:type="dxa" w:w="3360"/>
            <w:vAlign w:val="top"/>
          </w:tcPr>
          <w:p>
            <w:r>
              <w:t>Licensed APIs</w:t>
            </w:r>
          </w:p>
        </w:tc>
        <w:tc>
          <w:tcPr>
            <w:tcW w:type="dxa" w:w="3360"/>
            <w:vAlign w:val="top"/>
          </w:tcPr>
          <w:p>
            <w:r>
              <w:t>Coverage supplementation</w:t>
            </w:r>
          </w:p>
        </w:tc>
        <w:tc>
          <w:tcPr>
            <w:tcW w:type="dxa" w:w="3360"/>
            <w:vAlign w:val="top"/>
          </w:tcPr>
          <w:p>
            <w:r>
              <w:t>Measure India coverage and licensing constraints</w:t>
            </w:r>
          </w:p>
        </w:tc>
      </w:tr>
      <w:tr>
        <w:tc>
          <w:tcPr>
            <w:tcW w:type="dxa" w:w="3360"/>
            <w:vAlign w:val="top"/>
          </w:tcPr>
          <w:p>
            <w:r>
              <w:t>User-submitted labels</w:t>
            </w:r>
          </w:p>
        </w:tc>
        <w:tc>
          <w:tcPr>
            <w:tcW w:type="dxa" w:w="3360"/>
            <w:vAlign w:val="top"/>
          </w:tcPr>
          <w:p>
            <w:r>
              <w:t>Coverage/revision signal</w:t>
            </w:r>
          </w:p>
        </w:tc>
        <w:tc>
          <w:tcPr>
            <w:tcW w:type="dxa" w:w="3360"/>
            <w:vAlign w:val="top"/>
          </w:tcPr>
          <w:p>
            <w:r>
              <w:t>Validation queue before promotion to verified state</w:t>
            </w:r>
          </w:p>
        </w:tc>
      </w:tr>
    </w:tbl>
    <w:p>
      <w:pPr>
        <w:pStyle w:val="Heading1"/>
      </w:pPr>
      <w:r>
        <w:t>3. Product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State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Discovered</w:t>
            </w:r>
          </w:p>
        </w:tc>
        <w:tc>
          <w:tcPr>
            <w:tcW w:type="dxa" w:w="5040"/>
            <w:vAlign w:val="top"/>
          </w:tcPr>
          <w:p>
            <w:r>
              <w:t>Found via search/user/import, not verified</w:t>
            </w:r>
          </w:p>
        </w:tc>
      </w:tr>
      <w:tr>
        <w:tc>
          <w:tcPr>
            <w:tcW w:type="dxa" w:w="5040"/>
            <w:vAlign w:val="top"/>
          </w:tcPr>
          <w:p>
            <w:r>
              <w:t>OCR parsed</w:t>
            </w:r>
          </w:p>
        </w:tc>
        <w:tc>
          <w:tcPr>
            <w:tcW w:type="dxa" w:w="5040"/>
            <w:vAlign w:val="top"/>
          </w:tcPr>
          <w:p>
            <w:r>
              <w:t>Label extracted; confidence measured</w:t>
            </w:r>
          </w:p>
        </w:tc>
      </w:tr>
      <w:tr>
        <w:tc>
          <w:tcPr>
            <w:tcW w:type="dxa" w:w="5040"/>
            <w:vAlign w:val="top"/>
          </w:tcPr>
          <w:p>
            <w:r>
              <w:t>Verified</w:t>
            </w:r>
          </w:p>
        </w:tc>
        <w:tc>
          <w:tcPr>
            <w:tcW w:type="dxa" w:w="5040"/>
            <w:vAlign w:val="top"/>
          </w:tcPr>
          <w:p>
            <w:r>
              <w:t>Human/rules validation passed</w:t>
            </w:r>
          </w:p>
        </w:tc>
      </w:tr>
      <w:tr>
        <w:tc>
          <w:tcPr>
            <w:tcW w:type="dxa" w:w="5040"/>
            <w:vAlign w:val="top"/>
          </w:tcPr>
          <w:p>
            <w:r>
              <w:t>Stale</w:t>
            </w:r>
          </w:p>
        </w:tc>
        <w:tc>
          <w:tcPr>
            <w:tcW w:type="dxa" w:w="5040"/>
            <w:vAlign w:val="top"/>
          </w:tcPr>
          <w:p>
            <w:r>
              <w:t>Past freshness SLA or suspected formulation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Superseded</w:t>
            </w:r>
          </w:p>
        </w:tc>
        <w:tc>
          <w:tcPr>
            <w:tcW w:type="dxa" w:w="5040"/>
            <w:vAlign w:val="top"/>
          </w:tcPr>
          <w:p>
            <w:r>
              <w:t>Replaced by newer product version</w:t>
            </w:r>
          </w:p>
        </w:tc>
      </w:tr>
      <w:tr>
        <w:tc>
          <w:tcPr>
            <w:tcW w:type="dxa" w:w="5040"/>
            <w:vAlign w:val="top"/>
          </w:tcPr>
          <w:p>
            <w:r>
              <w:t>Rejected</w:t>
            </w:r>
          </w:p>
        </w:tc>
        <w:tc>
          <w:tcPr>
            <w:tcW w:type="dxa" w:w="5040"/>
            <w:vAlign w:val="top"/>
          </w:tcPr>
          <w:p>
            <w:r>
              <w:t>Insufficient/contradictory evidence</w:t>
            </w:r>
          </w:p>
        </w:tc>
      </w:tr>
    </w:tbl>
    <w:p>
      <w:pPr>
        <w:pStyle w:val="Heading1"/>
      </w:pPr>
      <w:r>
        <w:t>4. Verification checklist</w:t>
      </w:r>
    </w:p>
    <w:p>
      <w:pPr>
        <w:pStyle w:val="ListBullet"/>
      </w:pPr>
      <w:r>
        <w:t>Barcode/GTIN mapping</w:t>
      </w:r>
    </w:p>
    <w:p>
      <w:pPr>
        <w:pStyle w:val="ListBullet"/>
      </w:pPr>
      <w:r>
        <w:t>Brand/product name</w:t>
      </w:r>
    </w:p>
    <w:p>
      <w:pPr>
        <w:pStyle w:val="ListBullet"/>
      </w:pPr>
      <w:r>
        <w:t>Pack size and serving size</w:t>
      </w:r>
    </w:p>
    <w:p>
      <w:pPr>
        <w:pStyle w:val="ListBullet"/>
      </w:pPr>
      <w:r>
        <w:t>Nutrition panel</w:t>
      </w:r>
    </w:p>
    <w:p>
      <w:pPr>
        <w:pStyle w:val="ListBullet"/>
      </w:pPr>
      <w:r>
        <w:t>Added sugar if declared</w:t>
      </w:r>
    </w:p>
    <w:p>
      <w:pPr>
        <w:pStyle w:val="ListBullet"/>
      </w:pPr>
      <w:r>
        <w:t>Sodium/salt</w:t>
      </w:r>
    </w:p>
    <w:p>
      <w:pPr>
        <w:pStyle w:val="ListBullet"/>
      </w:pPr>
      <w:r>
        <w:t>Saturated/trans fat if declared</w:t>
      </w:r>
    </w:p>
    <w:p>
      <w:pPr>
        <w:pStyle w:val="ListBullet"/>
      </w:pPr>
      <w:r>
        <w:t>Protein/fibre</w:t>
      </w:r>
    </w:p>
    <w:p>
      <w:pPr>
        <w:pStyle w:val="ListBullet"/>
      </w:pPr>
      <w:r>
        <w:t>Ingredients</w:t>
      </w:r>
    </w:p>
    <w:p>
      <w:pPr>
        <w:pStyle w:val="ListBullet"/>
      </w:pPr>
      <w:r>
        <w:t>Allergens</w:t>
      </w:r>
    </w:p>
    <w:p>
      <w:pPr>
        <w:pStyle w:val="ListBullet"/>
      </w:pPr>
      <w:r>
        <w:t>Country/region/version</w:t>
      </w:r>
    </w:p>
    <w:p>
      <w:pPr>
        <w:pStyle w:val="ListBullet"/>
      </w:pPr>
      <w:r>
        <w:t>Source image/reference</w:t>
      </w:r>
    </w:p>
    <w:p>
      <w:pPr>
        <w:pStyle w:val="ListBullet"/>
      </w:pPr>
      <w:r>
        <w:t>Last verified date</w:t>
      </w:r>
    </w:p>
    <w:p>
      <w:pPr>
        <w:pStyle w:val="Heading1"/>
      </w:pPr>
      <w:r>
        <w:t>5. Freshness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Product class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Initial target</w:t>
            </w:r>
          </w:p>
        </w:tc>
      </w:tr>
      <w:tr>
        <w:tc>
          <w:tcPr>
            <w:tcW w:type="dxa" w:w="5040"/>
            <w:vAlign w:val="top"/>
          </w:tcPr>
          <w:p>
            <w:r>
              <w:t>High-velocity top sellers</w:t>
            </w:r>
          </w:p>
        </w:tc>
        <w:tc>
          <w:tcPr>
            <w:tcW w:type="dxa" w:w="5040"/>
            <w:vAlign w:val="top"/>
          </w:tcPr>
          <w:p>
            <w:r>
              <w:t>Verify at least every 90 days or on change signal</w:t>
            </w:r>
          </w:p>
        </w:tc>
      </w:tr>
      <w:tr>
        <w:tc>
          <w:tcPr>
            <w:tcW w:type="dxa" w:w="5040"/>
            <w:vAlign w:val="top"/>
          </w:tcPr>
          <w:p>
            <w:r>
              <w:t>Normal active SKUs</w:t>
            </w:r>
          </w:p>
        </w:tc>
        <w:tc>
          <w:tcPr>
            <w:tcW w:type="dxa" w:w="5040"/>
            <w:vAlign w:val="top"/>
          </w:tcPr>
          <w:p>
            <w:r>
              <w:t>Every 180 days</w:t>
            </w:r>
          </w:p>
        </w:tc>
      </w:tr>
      <w:tr>
        <w:tc>
          <w:tcPr>
            <w:tcW w:type="dxa" w:w="5040"/>
            <w:vAlign w:val="top"/>
          </w:tcPr>
          <w:p>
            <w:r>
              <w:t>Long-tail / low-velocity</w:t>
            </w:r>
          </w:p>
        </w:tc>
        <w:tc>
          <w:tcPr>
            <w:tcW w:type="dxa" w:w="5040"/>
            <w:vAlign w:val="top"/>
          </w:tcPr>
          <w:p>
            <w:r>
              <w:t>Every 365 days or on change signal</w:t>
            </w:r>
          </w:p>
        </w:tc>
      </w:tr>
      <w:tr>
        <w:tc>
          <w:tcPr>
            <w:tcW w:type="dxa" w:w="5040"/>
            <w:vAlign w:val="top"/>
          </w:tcPr>
          <w:p>
            <w:r>
              <w:t>User-reported changed pack</w:t>
            </w:r>
          </w:p>
        </w:tc>
        <w:tc>
          <w:tcPr>
            <w:tcW w:type="dxa" w:w="5040"/>
            <w:vAlign w:val="top"/>
          </w:tcPr>
          <w:p>
            <w:r>
              <w:t>Priority re-verification</w:t>
            </w:r>
          </w:p>
        </w:tc>
      </w:tr>
    </w:tbl>
    <w:p>
      <w:r>
        <w:t>These are operating hypotheses for MVP economics, not regulatory requirements.</w:t>
      </w:r>
    </w:p>
    <w:p>
      <w:pPr>
        <w:pStyle w:val="Heading1"/>
      </w:pPr>
      <w:r>
        <w:t>6. Change detection</w:t>
      </w:r>
    </w:p>
    <w:p>
      <w:pPr>
        <w:pStyle w:val="ListBullet"/>
      </w:pPr>
      <w:r>
        <w:t>Compare new label image/text with ProductVersion.</w:t>
      </w:r>
    </w:p>
    <w:p>
      <w:pPr>
        <w:pStyle w:val="ListBullet"/>
      </w:pPr>
      <w:r>
        <w:t>Flag any nutrient, ingredient, allergen or serving-size change.</w:t>
      </w:r>
    </w:p>
    <w:p>
      <w:pPr>
        <w:pStyle w:val="ListBullet"/>
      </w:pPr>
      <w:r>
        <w:t>Create new version; never silently overwrite historical facts.</w:t>
      </w:r>
    </w:p>
    <w:p>
      <w:pPr>
        <w:pStyle w:val="ListBullet"/>
      </w:pPr>
      <w:r>
        <w:t>Invalidate affected recommendations when material fields change.</w:t>
      </w:r>
    </w:p>
    <w:p>
      <w:pPr>
        <w:pStyle w:val="Heading1"/>
      </w:pPr>
      <w:r>
        <w:t>7.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Metric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Verified coverage</w:t>
            </w:r>
          </w:p>
        </w:tc>
        <w:tc>
          <w:tcPr>
            <w:tcW w:type="dxa" w:w="5040"/>
            <w:vAlign w:val="top"/>
          </w:tcPr>
          <w:p>
            <w:r>
              <w:t>% of target SKU set in verified state</w:t>
            </w:r>
          </w:p>
        </w:tc>
      </w:tr>
      <w:tr>
        <w:tc>
          <w:tcPr>
            <w:tcW w:type="dxa" w:w="5040"/>
            <w:vAlign w:val="top"/>
          </w:tcPr>
          <w:p>
            <w:r>
              <w:t>Freshness compliance</w:t>
            </w:r>
          </w:p>
        </w:tc>
        <w:tc>
          <w:tcPr>
            <w:tcW w:type="dxa" w:w="5040"/>
            <w:vAlign w:val="top"/>
          </w:tcPr>
          <w:p>
            <w:r>
              <w:t>% within freshness SLA</w:t>
            </w:r>
          </w:p>
        </w:tc>
      </w:tr>
      <w:tr>
        <w:tc>
          <w:tcPr>
            <w:tcW w:type="dxa" w:w="5040"/>
            <w:vAlign w:val="top"/>
          </w:tcPr>
          <w:p>
            <w:r>
              <w:t>Error rate</w:t>
            </w:r>
          </w:p>
        </w:tc>
        <w:tc>
          <w:tcPr>
            <w:tcW w:type="dxa" w:w="5040"/>
            <w:vAlign w:val="top"/>
          </w:tcPr>
          <w:p>
            <w:r>
              <w:t>Verified records later reported incorrect</w:t>
            </w:r>
          </w:p>
        </w:tc>
      </w:tr>
      <w:tr>
        <w:tc>
          <w:tcPr>
            <w:tcW w:type="dxa" w:w="5040"/>
            <w:vAlign w:val="top"/>
          </w:tcPr>
          <w:p>
            <w:r>
              <w:t>OCR correction rate</w:t>
            </w:r>
          </w:p>
        </w:tc>
        <w:tc>
          <w:tcPr>
            <w:tcW w:type="dxa" w:w="5040"/>
            <w:vAlign w:val="top"/>
          </w:tcPr>
          <w:p>
            <w:r>
              <w:t>% fields changed by verifier/user</w:t>
            </w:r>
          </w:p>
        </w:tc>
      </w:tr>
      <w:tr>
        <w:tc>
          <w:tcPr>
            <w:tcW w:type="dxa" w:w="5040"/>
            <w:vAlign w:val="top"/>
          </w:tcPr>
          <w:p>
            <w:r>
              <w:t>Cost per active SKU</w:t>
            </w:r>
          </w:p>
        </w:tc>
        <w:tc>
          <w:tcPr>
            <w:tcW w:type="dxa" w:w="5040"/>
            <w:vAlign w:val="top"/>
          </w:tcPr>
          <w:p>
            <w:r>
              <w:t>Ops cost / active verified SKU</w:t>
            </w:r>
          </w:p>
        </w:tc>
      </w:tr>
    </w:tbl>
    <w:p>
      <w:pPr>
        <w:pStyle w:val="Heading1"/>
      </w:pPr>
      <w:r>
        <w:t>Sources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>https://doi.org/10.1016/S2213-8587(23)00119-5</w:t>
      </w:r>
    </w:p>
    <w:p>
      <w:pPr>
        <w:pStyle w:val="ListNumber"/>
      </w:pPr>
      <w:r>
        <w:rPr>
          <w:b/>
        </w:rPr>
        <w:t xml:space="preserve">S2 — MoSPI HCES 2023-24. </w:t>
      </w:r>
      <w:r>
        <w:t>https://www.mospi.gov.in/sites/default/files/publication_reports/HCES%20FactSheet%202023-24.pdf</w:t>
      </w:r>
    </w:p>
    <w:p>
      <w:pPr>
        <w:pStyle w:val="ListNumber"/>
      </w:pPr>
      <w:r>
        <w:rPr>
          <w:b/>
        </w:rPr>
        <w:t xml:space="preserve">S3 — FSSAI / Supreme Court order 10 Feb 2026. </w:t>
      </w:r>
      <w:r>
        <w:t>https://api.sci.gov.in/supremecourt/2025/35988/35988_2025_6_12_68509_Order_10-Feb-2026.pdf</w:t>
      </w:r>
    </w:p>
    <w:p>
      <w:pPr>
        <w:pStyle w:val="ListNumber"/>
      </w:pPr>
      <w:r>
        <w:rPr>
          <w:b/>
        </w:rPr>
        <w:t xml:space="preserve">S4 — DPDP Act 2023. </w:t>
      </w:r>
      <w:r>
        <w:t>https://www.meity.gov.in/static/uploads/2024/02/Digital-Personal-Data-Protection-Act-2023.pdf</w:t>
      </w:r>
    </w:p>
    <w:p>
      <w:pPr>
        <w:pStyle w:val="ListNumber"/>
      </w:pPr>
      <w:r>
        <w:rPr>
          <w:b/>
        </w:rPr>
        <w:t xml:space="preserve">S5 — DPDP Rules 2025. </w:t>
      </w:r>
      <w:r>
        <w:t>https://www.meity.gov.in/documents/act-and-policies/digital-personal-data-protection-rules-2025</w:t>
      </w:r>
    </w:p>
    <w:p>
      <w:pPr>
        <w:pStyle w:val="ListNumber"/>
      </w:pPr>
      <w:r>
        <w:rPr>
          <w:b/>
        </w:rPr>
        <w:t xml:space="preserve">S6 — JMIR health-app discontinuation review. </w:t>
      </w:r>
      <w:r>
        <w:t>https://www.jmir.org/2024/1/e56897</w:t>
      </w:r>
    </w:p>
    <w:p>
      <w:pPr>
        <w:pStyle w:val="ListNumber"/>
      </w:pPr>
      <w:r>
        <w:rPr>
          <w:b/>
        </w:rPr>
        <w:t xml:space="preserve">S7 — Yuka press/social impact. </w:t>
      </w:r>
      <w:r>
        <w:t>https://yuka.io/en/press/</w:t>
      </w:r>
    </w:p>
    <w:p>
      <w:pPr>
        <w:pStyle w:val="ListNumber"/>
      </w:pPr>
      <w:r>
        <w:rPr>
          <w:b/>
        </w:rPr>
        <w:t xml:space="preserve">S8 — Open Food Facts India milestone. </w:t>
      </w:r>
      <w:r>
        <w:t>https://blog.openfoodfacts.org/en/news/open-food-facts-india-database-reaches-10k-product-milestone</w:t>
      </w:r>
    </w:p>
    <w:p>
      <w:pPr>
        <w:pStyle w:val="ListNumber"/>
      </w:pPr>
      <w:r>
        <w:rPr>
          <w:b/>
        </w:rPr>
        <w:t xml:space="preserve">S9 — HealthifyMe. </w:t>
      </w:r>
      <w:r>
        <w:t>https://www.healthifyme.com/</w:t>
      </w:r>
    </w:p>
    <w:p>
      <w:pPr>
        <w:pStyle w:val="ListNumber"/>
      </w:pPr>
      <w:r>
        <w:rPr>
          <w:b/>
        </w:rPr>
        <w:t xml:space="preserve">S10 — GS1 India Smart Consumer. </w:t>
      </w:r>
      <w:r>
        <w:t>https://www.gs1india.org/services/smart-consumer</w:t>
      </w:r>
    </w:p>
    <w:p>
      <w:pPr>
        <w:pStyle w:val="ListNumber"/>
      </w:pPr>
      <w:r>
        <w:rPr>
          <w:b/>
        </w:rPr>
        <w:t xml:space="preserve">S11 — WHO India/ICRIER UPF report 2023. </w:t>
      </w:r>
      <w:r>
        <w:t>https://www.icrier.org/pdf/UPF_Report_2023.pdf</w:t>
      </w:r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>https://www.nin.res.in/downloads/DietaryGuidelinesforNINwebsite.pdf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