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UX / Interaction &amp; Information Architecture Scope</w:t>
      </w:r>
    </w:p>
    <w:p>
      <w:pPr>
        <w:jc w:val="center"/>
      </w:pPr>
      <w:r>
        <w:rPr>
          <w:i/>
          <w:sz w:val="22"/>
        </w:rPr>
        <w:t>MVP screen inventory and interaction rules</w:t>
      </w:r>
    </w:p>
    <w:p>
      <w:pPr>
        <w:jc w:val="center"/>
      </w:pPr>
      <w:r>
        <w:rPr>
          <w:sz w:val="18"/>
        </w:rPr>
        <w:t>v0.1 | 05 Sep 2026</w:t>
      </w:r>
    </w:p>
    <w:p>
      <w:pPr>
        <w:pStyle w:val="Heading1"/>
      </w:pPr>
      <w:r>
        <w:t>1. Primary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top"/>
          </w:tcPr>
          <w:p>
            <w:r>
              <w:t>Area</w:t>
            </w:r>
          </w:p>
        </w:tc>
        <w:tc>
          <w:tcPr>
            <w:tcW w:type="dxa" w:w="5040"/>
            <w:shd w:fill="D9EAF7"/>
            <w:vAlign w:val="top"/>
          </w:tcPr>
          <w:p>
            <w: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Home</w:t>
            </w:r>
          </w:p>
        </w:tc>
        <w:tc>
          <w:tcPr>
            <w:tcW w:type="dxa" w:w="5040"/>
            <w:vAlign w:val="top"/>
          </w:tcPr>
          <w:p>
            <w:r>
              <w:t>Recent decisions, quick search/scan, household shortcut</w:t>
            </w:r>
          </w:p>
        </w:tc>
      </w:tr>
      <w:tr>
        <w:tc>
          <w:tcPr>
            <w:tcW w:type="dxa" w:w="5040"/>
            <w:vAlign w:val="top"/>
          </w:tcPr>
          <w:p>
            <w:r>
              <w:t>Search</w:t>
            </w:r>
          </w:p>
        </w:tc>
        <w:tc>
          <w:tcPr>
            <w:tcW w:type="dxa" w:w="5040"/>
            <w:vAlign w:val="top"/>
          </w:tcPr>
          <w:p>
            <w:r>
              <w:t>Product/category lookup</w:t>
            </w:r>
          </w:p>
        </w:tc>
      </w:tr>
      <w:tr>
        <w:tc>
          <w:tcPr>
            <w:tcW w:type="dxa" w:w="5040"/>
            <w:vAlign w:val="top"/>
          </w:tcPr>
          <w:p>
            <w:r>
              <w:t>Scan</w:t>
            </w:r>
          </w:p>
        </w:tc>
        <w:tc>
          <w:tcPr>
            <w:tcW w:type="dxa" w:w="5040"/>
            <w:vAlign w:val="top"/>
          </w:tcPr>
          <w:p>
            <w:r>
              <w:t>Barcode + label capture</w:t>
            </w:r>
          </w:p>
        </w:tc>
      </w:tr>
      <w:tr>
        <w:tc>
          <w:tcPr>
            <w:tcW w:type="dxa" w:w="5040"/>
            <w:vAlign w:val="top"/>
          </w:tcPr>
          <w:p>
            <w:r>
              <w:t>Family</w:t>
            </w:r>
          </w:p>
        </w:tc>
        <w:tc>
          <w:tcPr>
            <w:tcW w:type="dxa" w:w="5040"/>
            <w:vAlign w:val="top"/>
          </w:tcPr>
          <w:p>
            <w:r>
              <w:t>Household members, goals, preferences, consent status</w:t>
            </w:r>
          </w:p>
        </w:tc>
      </w:tr>
      <w:tr>
        <w:tc>
          <w:tcPr>
            <w:tcW w:type="dxa" w:w="5040"/>
            <w:vAlign w:val="top"/>
          </w:tcPr>
          <w:p>
            <w:r>
              <w:t>Saved</w:t>
            </w:r>
          </w:p>
        </w:tc>
        <w:tc>
          <w:tcPr>
            <w:tcW w:type="dxa" w:w="5040"/>
            <w:vAlign w:val="top"/>
          </w:tcPr>
          <w:p>
            <w:r>
              <w:t>Saved products / comparisons</w:t>
            </w:r>
          </w:p>
        </w:tc>
      </w:tr>
      <w:tr>
        <w:tc>
          <w:tcPr>
            <w:tcW w:type="dxa" w:w="5040"/>
            <w:vAlign w:val="top"/>
          </w:tcPr>
          <w:p>
            <w:r>
              <w:t>Profile/Settings</w:t>
            </w:r>
          </w:p>
        </w:tc>
        <w:tc>
          <w:tcPr>
            <w:tcW w:type="dxa" w:w="5040"/>
            <w:vAlign w:val="top"/>
          </w:tcPr>
          <w:p>
            <w:r>
              <w:t>Privacy, consent, data controls, language</w:t>
            </w:r>
          </w:p>
        </w:tc>
      </w:tr>
    </w:tbl>
    <w:p>
      <w:pPr>
        <w:pStyle w:val="Heading1"/>
      </w:pPr>
      <w:r>
        <w:t>2. Core result screen hierarchy</w:t>
      </w:r>
    </w:p>
    <w:p>
      <w:r>
        <w:t>1. Product name + pack/context.</w:t>
      </w:r>
    </w:p>
    <w:p>
      <w:r>
        <w:t>2. Verdict: good / occasional / limit / conflict.</w:t>
      </w:r>
    </w:p>
    <w:p>
      <w:r>
        <w:t>3. Top 3 reasons with plain-language numbers.</w:t>
      </w:r>
    </w:p>
    <w:p>
      <w:r>
        <w:t>4. “For your family” member-by-member fit.</w:t>
      </w:r>
    </w:p>
    <w:p>
      <w:r>
        <w:t>5. Better alternatives.</w:t>
      </w:r>
    </w:p>
    <w:p>
      <w:r>
        <w:t>6. Source/update information.</w:t>
      </w:r>
    </w:p>
    <w:p>
      <w:r>
        <w:t>7. Detailed nutrition and ingredients.</w:t>
      </w:r>
    </w:p>
    <w:p>
      <w:pPr>
        <w:pStyle w:val="Heading1"/>
      </w:pPr>
      <w:r>
        <w:t>3. Child-profile UX</w:t>
      </w:r>
    </w:p>
    <w:p>
      <w:pPr>
        <w:pStyle w:val="ListBullet"/>
      </w:pPr>
      <w:r>
        <w:t>Guardian starts the flow.</w:t>
      </w:r>
    </w:p>
    <w:p>
      <w:pPr>
        <w:pStyle w:val="ListBullet"/>
      </w:pPr>
      <w:r>
        <w:t>Consent status is visible before any processing.</w:t>
      </w:r>
    </w:p>
    <w:p>
      <w:pPr>
        <w:pStyle w:val="ListBullet"/>
      </w:pPr>
      <w:r>
        <w:t>Child profile is not independently social or publicly discoverable.</w:t>
      </w:r>
    </w:p>
    <w:p>
      <w:pPr>
        <w:pStyle w:val="ListBullet"/>
      </w:pPr>
      <w:r>
        <w:t>No child-facing advertising or gamification.</w:t>
      </w:r>
    </w:p>
    <w:p>
      <w:pPr>
        <w:pStyle w:val="ListBullet"/>
      </w:pPr>
      <w:r>
        <w:t>Guardian can review, revoke/delete, and see what data is stored.</w:t>
      </w:r>
    </w:p>
    <w:p>
      <w:pPr>
        <w:pStyle w:val="ListBullet"/>
      </w:pPr>
      <w:r>
        <w:t>Use age band/minimum fields where adequate.</w:t>
      </w:r>
    </w:p>
    <w:p>
      <w:pPr>
        <w:pStyle w:val="Heading1"/>
      </w:pPr>
      <w:r>
        <w:t>4. Error and uncertainty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top"/>
          </w:tcPr>
          <w:p>
            <w:r>
              <w:t>Situation</w:t>
            </w:r>
          </w:p>
        </w:tc>
        <w:tc>
          <w:tcPr>
            <w:tcW w:type="dxa" w:w="5040"/>
            <w:shd w:fill="D9EAF7"/>
            <w:vAlign w:val="top"/>
          </w:tcPr>
          <w:p>
            <w:r>
              <w:t>UX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 not found</w:t>
            </w:r>
          </w:p>
        </w:tc>
        <w:tc>
          <w:tcPr>
            <w:tcW w:type="dxa" w:w="5040"/>
            <w:vAlign w:val="top"/>
          </w:tcPr>
          <w:p>
            <w:r>
              <w:t>Offer label scan/OCR/manual product entry</w:t>
            </w:r>
          </w:p>
        </w:tc>
      </w:tr>
      <w:tr>
        <w:tc>
          <w:tcPr>
            <w:tcW w:type="dxa" w:w="5040"/>
            <w:vAlign w:val="top"/>
          </w:tcPr>
          <w:p>
            <w:r>
              <w:t>OCR low confidence</w:t>
            </w:r>
          </w:p>
        </w:tc>
        <w:tc>
          <w:tcPr>
            <w:tcW w:type="dxa" w:w="5040"/>
            <w:vAlign w:val="top"/>
          </w:tcPr>
          <w:p>
            <w:r>
              <w:t>Highlight uncertain fields; require confirmation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Conflicting sources</w:t>
            </w:r>
          </w:p>
        </w:tc>
        <w:tc>
          <w:tcPr>
            <w:tcW w:type="dxa" w:w="5040"/>
            <w:vAlign w:val="top"/>
          </w:tcPr>
          <w:p>
            <w:r>
              <w:t>Show “data needs verification” rather than fabricate</w:t>
            </w:r>
          </w:p>
        </w:tc>
      </w:tr>
      <w:tr>
        <w:tc>
          <w:tcPr>
            <w:tcW w:type="dxa" w:w="5040"/>
            <w:vAlign w:val="top"/>
          </w:tcPr>
          <w:p>
            <w:r>
              <w:t>Personal rule unavailable</w:t>
            </w:r>
          </w:p>
        </w:tc>
        <w:tc>
          <w:tcPr>
            <w:tcW w:type="dxa" w:w="5040"/>
            <w:vAlign w:val="top"/>
          </w:tcPr>
          <w:p>
            <w:r>
              <w:t>Return general nutrition interpretation + explain limitation</w:t>
            </w:r>
          </w:p>
        </w:tc>
      </w:tr>
      <w:tr>
        <w:tc>
          <w:tcPr>
            <w:tcW w:type="dxa" w:w="5040"/>
            <w:vAlign w:val="top"/>
          </w:tcPr>
          <w:p>
            <w:r>
              <w:t>Missing child consent</w:t>
            </w:r>
          </w:p>
        </w:tc>
        <w:tc>
          <w:tcPr>
            <w:tcW w:type="dxa" w:w="5040"/>
            <w:vAlign w:val="top"/>
          </w:tcPr>
          <w:p>
            <w:r>
              <w:t>Do not process child data; prompt guardian consent</w:t>
            </w:r>
          </w:p>
        </w:tc>
      </w:tr>
    </w:tbl>
    <w:p>
      <w:pPr>
        <w:pStyle w:val="Heading1"/>
      </w:pPr>
      <w:r>
        <w:t>5. Copy principles</w:t>
      </w:r>
    </w:p>
    <w:p>
      <w:pPr>
        <w:pStyle w:val="ListBullet"/>
      </w:pPr>
      <w:r>
        <w:t>Plain language first; numeric detail second.</w:t>
      </w:r>
    </w:p>
    <w:p>
      <w:pPr>
        <w:pStyle w:val="ListBullet"/>
      </w:pPr>
      <w:r>
        <w:t>Do not moralize food.</w:t>
      </w:r>
    </w:p>
    <w:p>
      <w:pPr>
        <w:pStyle w:val="ListBullet"/>
      </w:pPr>
      <w:r>
        <w:t>Do not use fear-based language.</w:t>
      </w:r>
    </w:p>
    <w:p>
      <w:pPr>
        <w:pStyle w:val="ListBullet"/>
      </w:pPr>
      <w:r>
        <w:t>Separate product fact from recommendation.</w:t>
      </w:r>
    </w:p>
    <w:p>
      <w:pPr>
        <w:pStyle w:val="ListBullet"/>
      </w:pPr>
      <w:r>
        <w:t>Be explicit when an estimate is approximate.</w:t>
      </w:r>
    </w:p>
    <w:p>
      <w:pPr>
        <w:pStyle w:val="ListBullet"/>
      </w:pPr>
      <w:r>
        <w:t>Make “why” accessible in one tap.</w:t>
      </w:r>
    </w:p>
    <w:p>
      <w:pPr>
        <w:pStyle w:val="Heading1"/>
      </w:pPr>
      <w:r>
        <w:t>6. Accessibility</w:t>
      </w:r>
    </w:p>
    <w:p>
      <w:pPr>
        <w:pStyle w:val="ListBullet"/>
      </w:pPr>
      <w:r>
        <w:t>WCAG-aligned contrast and text sizing.</w:t>
      </w:r>
    </w:p>
    <w:p>
      <w:pPr>
        <w:pStyle w:val="ListBullet"/>
      </w:pPr>
      <w:r>
        <w:t>Screen-reader labels for scan/search/results.</w:t>
      </w:r>
    </w:p>
    <w:p>
      <w:pPr>
        <w:pStyle w:val="ListBullet"/>
      </w:pPr>
      <w:r>
        <w:t>Do not rely on colour alone for verdict states.</w:t>
      </w:r>
    </w:p>
    <w:p>
      <w:pPr>
        <w:pStyle w:val="ListBullet"/>
      </w:pPr>
      <w:r>
        <w:t>Large tap targets.</w:t>
      </w:r>
    </w:p>
    <w:p>
      <w:pPr>
        <w:pStyle w:val="ListBullet"/>
      </w:pPr>
      <w:r>
        <w:t>Keyboard navigation for web version.</w:t>
      </w:r>
    </w:p>
    <w:p>
      <w:pPr>
        <w:pStyle w:val="Heading1"/>
      </w:pPr>
      <w:r>
        <w:t>Sources</w:t>
      </w:r>
    </w:p>
    <w:p>
      <w:pPr>
        <w:pStyle w:val="ListNumber"/>
      </w:pPr>
      <w:r>
        <w:rPr>
          <w:b/>
        </w:rPr>
        <w:t xml:space="preserve">S1 — ICMR-INDIAB / The Lancet Diabetes &amp; Endocrinology (2023). </w:t>
      </w:r>
      <w:r>
        <w:t>https://doi.org/10.1016/S2213-8587(23)00119-5</w:t>
      </w:r>
    </w:p>
    <w:p>
      <w:pPr>
        <w:pStyle w:val="ListNumber"/>
      </w:pPr>
      <w:r>
        <w:rPr>
          <w:b/>
        </w:rPr>
        <w:t xml:space="preserve">S2 — MoSPI HCES 2023-24. </w:t>
      </w:r>
      <w:r>
        <w:t>https://www.mospi.gov.in/sites/default/files/publication_reports/HCES%20FactSheet%202023-24.pdf</w:t>
      </w:r>
    </w:p>
    <w:p>
      <w:pPr>
        <w:pStyle w:val="ListNumber"/>
      </w:pPr>
      <w:r>
        <w:rPr>
          <w:b/>
        </w:rPr>
        <w:t xml:space="preserve">S3 — FSSAI / Supreme Court order 10 Feb 2026. </w:t>
      </w:r>
      <w:r>
        <w:t>https://api.sci.gov.in/supremecourt/2025/35988/35988_2025_6_12_68509_Order_10-Feb-2026.pdf</w:t>
      </w:r>
    </w:p>
    <w:p>
      <w:pPr>
        <w:pStyle w:val="ListNumber"/>
      </w:pPr>
      <w:r>
        <w:rPr>
          <w:b/>
        </w:rPr>
        <w:t xml:space="preserve">S4 — DPDP Act 2023. </w:t>
      </w:r>
      <w:r>
        <w:t>https://www.meity.gov.in/static/uploads/2024/02/Digital-Personal-Data-Protection-Act-2023.pdf</w:t>
      </w:r>
    </w:p>
    <w:p>
      <w:pPr>
        <w:pStyle w:val="ListNumber"/>
      </w:pPr>
      <w:r>
        <w:rPr>
          <w:b/>
        </w:rPr>
        <w:t xml:space="preserve">S5 — DPDP Rules 2025. </w:t>
      </w:r>
      <w:r>
        <w:t>https://www.meity.gov.in/documents/act-and-policies/digital-personal-data-protection-rules-2025</w:t>
      </w:r>
    </w:p>
    <w:p>
      <w:pPr>
        <w:pStyle w:val="ListNumber"/>
      </w:pPr>
      <w:r>
        <w:rPr>
          <w:b/>
        </w:rPr>
        <w:t xml:space="preserve">S6 — JMIR health-app discontinuation review. </w:t>
      </w:r>
      <w:r>
        <w:t>https://www.jmir.org/2024/1/e56897</w:t>
      </w:r>
    </w:p>
    <w:p>
      <w:pPr>
        <w:pStyle w:val="ListNumber"/>
      </w:pPr>
      <w:r>
        <w:rPr>
          <w:b/>
        </w:rPr>
        <w:t xml:space="preserve">S7 — Yuka press/social impact. </w:t>
      </w:r>
      <w:r>
        <w:t>https://yuka.io/en/press/</w:t>
      </w:r>
    </w:p>
    <w:p>
      <w:pPr>
        <w:pStyle w:val="ListNumber"/>
      </w:pPr>
      <w:r>
        <w:rPr>
          <w:b/>
        </w:rPr>
        <w:t xml:space="preserve">S8 — Open Food Facts India milestone. </w:t>
      </w:r>
      <w:r>
        <w:t>https://blog.openfoodfacts.org/en/news/open-food-facts-india-database-reaches-10k-product-milestone</w:t>
      </w:r>
    </w:p>
    <w:p>
      <w:pPr>
        <w:pStyle w:val="ListNumber"/>
      </w:pPr>
      <w:r>
        <w:rPr>
          <w:b/>
        </w:rPr>
        <w:t xml:space="preserve">S9 — HealthifyMe. </w:t>
      </w:r>
      <w:r>
        <w:t>https://www.healthifyme.com/</w:t>
      </w:r>
    </w:p>
    <w:p>
      <w:pPr>
        <w:pStyle w:val="ListNumber"/>
      </w:pPr>
      <w:r>
        <w:rPr>
          <w:b/>
        </w:rPr>
        <w:t xml:space="preserve">S10 — GS1 India Smart Consumer. </w:t>
      </w:r>
      <w:r>
        <w:t>https://www.gs1india.org/services/smart-consumer</w:t>
      </w:r>
    </w:p>
    <w:p>
      <w:pPr>
        <w:pStyle w:val="ListNumber"/>
      </w:pPr>
      <w:r>
        <w:rPr>
          <w:b/>
        </w:rPr>
        <w:t xml:space="preserve">S11 — WHO India/ICRIER UPF report 2023. </w:t>
      </w:r>
      <w:r>
        <w:t>https://www.icrier.org/pdf/UPF_Report_2023.pdf</w:t>
      </w:r>
    </w:p>
    <w:p>
      <w:pPr>
        <w:pStyle w:val="ListNumber"/>
      </w:pPr>
      <w:r>
        <w:rPr>
          <w:b/>
        </w:rPr>
        <w:t xml:space="preserve">S12 — ICMR-NIN Dietary Guidelines for Indians 2024. </w:t>
      </w:r>
      <w:r>
        <w:t>https://www.nin.res.in/downloads/DietaryGuidelinesforNINwebsite.pdf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