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Security &amp; Threat Model Scope</w:t>
      </w:r>
    </w:p>
    <w:p>
      <w:pPr>
        <w:jc w:val="center"/>
      </w:pPr>
      <w:r>
        <w:rPr>
          <w:i/>
          <w:sz w:val="22"/>
        </w:rPr>
        <w:t>Security requirements for household and child-sensitive food/health data</w:t>
      </w:r>
    </w:p>
    <w:p>
      <w:pPr>
        <w:jc w:val="center"/>
      </w:pPr>
      <w:r>
        <w:rPr>
          <w:sz w:val="18"/>
        </w:rPr>
        <w:t>v0.1 | 05 Sep 2026</w:t>
      </w:r>
    </w:p>
    <w:p>
      <w:pPr>
        <w:pStyle w:val="Heading1"/>
      </w:pPr>
      <w:r>
        <w:t>1.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top"/>
          </w:tcPr>
          <w:p>
            <w:r>
              <w:t>Asset</w:t>
            </w:r>
          </w:p>
        </w:tc>
        <w:tc>
          <w:tcPr>
            <w:tcW w:type="dxa" w:w="5040"/>
            <w:shd w:fill="D9EAF7"/>
            <w:vAlign w:val="top"/>
          </w:tcPr>
          <w:p>
            <w:r>
              <w:t>Sensitivity</w:t>
            </w:r>
          </w:p>
        </w:tc>
      </w:tr>
      <w:tr>
        <w:tc>
          <w:tcPr>
            <w:tcW w:type="dxa" w:w="5040"/>
            <w:vAlign w:val="top"/>
          </w:tcPr>
          <w:p>
            <w:r>
              <w:t>Identity/account</w:t>
            </w:r>
          </w:p>
        </w:tc>
        <w:tc>
          <w:tcPr>
            <w:tcW w:type="dxa" w:w="5040"/>
            <w:vAlign w:val="top"/>
          </w:tcPr>
          <w:p>
            <w:r>
              <w:t>High</w:t>
            </w:r>
          </w:p>
        </w:tc>
      </w:tr>
      <w:tr>
        <w:tc>
          <w:tcPr>
            <w:tcW w:type="dxa" w:w="5040"/>
            <w:vAlign w:val="top"/>
          </w:tcPr>
          <w:p>
            <w:r>
              <w:t>Adult health/diet profile</w:t>
            </w:r>
          </w:p>
        </w:tc>
        <w:tc>
          <w:tcPr>
            <w:tcW w:type="dxa" w:w="5040"/>
            <w:vAlign w:val="top"/>
          </w:tcPr>
          <w:p>
            <w:r>
              <w:t>High</w:t>
            </w:r>
          </w:p>
        </w:tc>
      </w:tr>
      <w:tr>
        <w:tc>
          <w:tcPr>
            <w:tcW w:type="dxa" w:w="5040"/>
            <w:vAlign w:val="top"/>
          </w:tcPr>
          <w:p>
            <w:r>
              <w:t>Child profile/consent</w:t>
            </w:r>
          </w:p>
        </w:tc>
        <w:tc>
          <w:tcPr>
            <w:tcW w:type="dxa" w:w="5040"/>
            <w:vAlign w:val="top"/>
          </w:tcPr>
          <w:p>
            <w:r>
              <w:t>Very high</w:t>
            </w:r>
          </w:p>
        </w:tc>
      </w:tr>
      <w:tr>
        <w:tc>
          <w:tcPr>
            <w:tcW w:type="dxa" w:w="5040"/>
            <w:vAlign w:val="top"/>
          </w:tcPr>
          <w:p>
            <w:r>
              <w:t>Food purchase/consumption events</w:t>
            </w:r>
          </w:p>
        </w:tc>
        <w:tc>
          <w:tcPr>
            <w:tcW w:type="dxa" w:w="5040"/>
            <w:vAlign w:val="top"/>
          </w:tcPr>
          <w:p>
            <w:r>
              <w:t>High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 public data</w:t>
            </w:r>
          </w:p>
        </w:tc>
        <w:tc>
          <w:tcPr>
            <w:tcW w:type="dxa" w:w="5040"/>
            <w:vAlign w:val="top"/>
          </w:tcPr>
          <w:p>
            <w:r>
              <w:t>Low/medium</w:t>
            </w:r>
          </w:p>
        </w:tc>
      </w:tr>
      <w:tr>
        <w:tc>
          <w:tcPr>
            <w:tcW w:type="dxa" w:w="5040"/>
            <w:vAlign w:val="top"/>
          </w:tcPr>
          <w:p>
            <w:r>
              <w:t>Scoring rules/evidence</w:t>
            </w:r>
          </w:p>
        </w:tc>
        <w:tc>
          <w:tcPr>
            <w:tcW w:type="dxa" w:w="5040"/>
            <w:vAlign w:val="top"/>
          </w:tcPr>
          <w:p>
            <w:r>
              <w:t>Business-critical</w:t>
            </w:r>
          </w:p>
        </w:tc>
      </w:tr>
      <w:tr>
        <w:tc>
          <w:tcPr>
            <w:tcW w:type="dxa" w:w="5040"/>
            <w:vAlign w:val="top"/>
          </w:tcPr>
          <w:p>
            <w:r>
              <w:t>Audit logs</w:t>
            </w:r>
          </w:p>
        </w:tc>
        <w:tc>
          <w:tcPr>
            <w:tcW w:type="dxa" w:w="5040"/>
            <w:vAlign w:val="top"/>
          </w:tcPr>
          <w:p>
            <w:r>
              <w:t>High</w:t>
            </w:r>
          </w:p>
        </w:tc>
      </w:tr>
    </w:tbl>
    <w:p>
      <w:pPr>
        <w:pStyle w:val="Heading1"/>
      </w:pPr>
      <w:r>
        <w:t>2. Primary threats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top"/>
          </w:tcPr>
          <w:p>
            <w:r>
              <w:t>Threat</w:t>
            </w:r>
          </w:p>
        </w:tc>
        <w:tc>
          <w:tcPr>
            <w:tcW w:type="dxa" w:w="5040"/>
            <w:shd w:fill="D9EAF7"/>
            <w:vAlign w:val="top"/>
          </w:tcPr>
          <w:p>
            <w:r>
              <w:t>Control direction</w:t>
            </w:r>
          </w:p>
        </w:tc>
      </w:tr>
      <w:tr>
        <w:tc>
          <w:tcPr>
            <w:tcW w:type="dxa" w:w="5040"/>
            <w:vAlign w:val="top"/>
          </w:tcPr>
          <w:p>
            <w:r>
              <w:t>Account takeover</w:t>
            </w:r>
          </w:p>
        </w:tc>
        <w:tc>
          <w:tcPr>
            <w:tcW w:type="dxa" w:w="5040"/>
            <w:vAlign w:val="top"/>
          </w:tcPr>
          <w:p>
            <w:r>
              <w:t>Strong authentication, session controls, anomaly detection</w:t>
            </w:r>
          </w:p>
        </w:tc>
      </w:tr>
      <w:tr>
        <w:tc>
          <w:tcPr>
            <w:tcW w:type="dxa" w:w="5040"/>
            <w:vAlign w:val="top"/>
          </w:tcPr>
          <w:p>
            <w:r>
              <w:t>Household member over-access</w:t>
            </w:r>
          </w:p>
        </w:tc>
        <w:tc>
          <w:tcPr>
            <w:tcW w:type="dxa" w:w="5040"/>
            <w:vAlign w:val="top"/>
          </w:tcPr>
          <w:p>
            <w:r>
              <w:t>RBAC and explicit household roles</w:t>
            </w:r>
          </w:p>
        </w:tc>
      </w:tr>
      <w:tr>
        <w:tc>
          <w:tcPr>
            <w:tcW w:type="dxa" w:w="5040"/>
            <w:vAlign w:val="top"/>
          </w:tcPr>
          <w:p>
            <w:r>
              <w:t>Child-data leakage</w:t>
            </w:r>
          </w:p>
        </w:tc>
        <w:tc>
          <w:tcPr>
            <w:tcW w:type="dxa" w:w="5040"/>
            <w:vAlign w:val="top"/>
          </w:tcPr>
          <w:p>
            <w:r>
              <w:t>Segregation, least privilege, vendor controls, access logging</w:t>
            </w:r>
          </w:p>
        </w:tc>
      </w:tr>
      <w:tr>
        <w:tc>
          <w:tcPr>
            <w:tcW w:type="dxa" w:w="5040"/>
            <w:vAlign w:val="top"/>
          </w:tcPr>
          <w:p>
            <w:r>
              <w:t>Prompt injection / AI data exfiltration</w:t>
            </w:r>
          </w:p>
        </w:tc>
        <w:tc>
          <w:tcPr>
            <w:tcW w:type="dxa" w:w="5040"/>
            <w:vAlign w:val="top"/>
          </w:tcPr>
          <w:p>
            <w:r>
              <w:t>Do not let model control authorization or data access</w:t>
            </w:r>
          </w:p>
        </w:tc>
      </w:tr>
      <w:tr>
        <w:tc>
          <w:tcPr>
            <w:tcW w:type="dxa" w:w="5040"/>
            <w:vAlign w:val="top"/>
          </w:tcPr>
          <w:p>
            <w:r>
              <w:t>Hallucinated nutrition facts</w:t>
            </w:r>
          </w:p>
        </w:tc>
        <w:tc>
          <w:tcPr>
            <w:tcW w:type="dxa" w:w="5040"/>
            <w:vAlign w:val="top"/>
          </w:tcPr>
          <w:p>
            <w:r>
              <w:t>Ground AI on structured facts; confidence and citations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Product-data tampering</w:t>
            </w:r>
          </w:p>
        </w:tc>
        <w:tc>
          <w:tcPr>
            <w:tcW w:type="dxa" w:w="5040"/>
            <w:vAlign w:val="top"/>
          </w:tcPr>
          <w:p>
            <w:r>
              <w:t>Signed/audited data changes; role separation</w:t>
            </w:r>
          </w:p>
        </w:tc>
      </w:tr>
      <w:tr>
        <w:tc>
          <w:tcPr>
            <w:tcW w:type="dxa" w:w="5040"/>
            <w:vAlign w:val="top"/>
          </w:tcPr>
          <w:p>
            <w:r>
              <w:t>Insider misuse</w:t>
            </w:r>
          </w:p>
        </w:tc>
        <w:tc>
          <w:tcPr>
            <w:tcW w:type="dxa" w:w="5040"/>
            <w:vAlign w:val="top"/>
          </w:tcPr>
          <w:p>
            <w:r>
              <w:t>Least privilege, audit, alerts</w:t>
            </w:r>
          </w:p>
        </w:tc>
      </w:tr>
      <w:tr>
        <w:tc>
          <w:tcPr>
            <w:tcW w:type="dxa" w:w="5040"/>
            <w:vAlign w:val="top"/>
          </w:tcPr>
          <w:p>
            <w:r>
              <w:t>Supply-chain/vendor risk</w:t>
            </w:r>
          </w:p>
        </w:tc>
        <w:tc>
          <w:tcPr>
            <w:tcW w:type="dxa" w:w="5040"/>
            <w:vAlign w:val="top"/>
          </w:tcPr>
          <w:p>
            <w:r>
              <w:t>Vendor security review + data-processing contracts</w:t>
            </w:r>
          </w:p>
        </w:tc>
      </w:tr>
    </w:tbl>
    <w:p>
      <w:pPr>
        <w:pStyle w:val="Heading1"/>
      </w:pPr>
      <w:r>
        <w:t>3. AI security rules</w:t>
      </w:r>
    </w:p>
    <w:p>
      <w:pPr>
        <w:pStyle w:val="ListBullet"/>
      </w:pPr>
      <w:r>
        <w:t>LLM must never be authoritative for personal-data authorization.</w:t>
      </w:r>
    </w:p>
    <w:p>
      <w:pPr>
        <w:pStyle w:val="ListBullet"/>
      </w:pPr>
      <w:r>
        <w:t>LLM must not invent nutrition numbers, ingredients or regulatory status.</w:t>
      </w:r>
    </w:p>
    <w:p>
      <w:pPr>
        <w:pStyle w:val="ListBullet"/>
      </w:pPr>
      <w:r>
        <w:t>Sensitive profile fields should be minimized before inference when possible.</w:t>
      </w:r>
    </w:p>
    <w:p>
      <w:pPr>
        <w:pStyle w:val="ListBullet"/>
      </w:pPr>
      <w:r>
        <w:t>External model providers must be reviewed for retention/training/data-location terms.</w:t>
      </w:r>
    </w:p>
    <w:p>
      <w:pPr>
        <w:pStyle w:val="ListBullet"/>
      </w:pPr>
      <w:r>
        <w:t>Prompt/output logs must not unintentionally store child or health data beyond approved retention.</w:t>
      </w:r>
    </w:p>
    <w:p>
      <w:pPr>
        <w:pStyle w:val="Heading1"/>
      </w:pPr>
      <w:r>
        <w:t>4. Security testing</w:t>
      </w:r>
    </w:p>
    <w:p>
      <w:pPr>
        <w:pStyle w:val="ListBullet"/>
      </w:pPr>
      <w:r>
        <w:t>Threat-model review before production.</w:t>
      </w:r>
    </w:p>
    <w:p>
      <w:pPr>
        <w:pStyle w:val="ListBullet"/>
      </w:pPr>
      <w:r>
        <w:t>Dependency and container scanning.</w:t>
      </w:r>
    </w:p>
    <w:p>
      <w:pPr>
        <w:pStyle w:val="ListBullet"/>
      </w:pPr>
      <w:r>
        <w:t>SAST/DAST and API authorization tests.</w:t>
      </w:r>
    </w:p>
    <w:p>
      <w:pPr>
        <w:pStyle w:val="ListBullet"/>
      </w:pPr>
      <w:r>
        <w:t>Mobile/web secrets and storage review.</w:t>
      </w:r>
    </w:p>
    <w:p>
      <w:pPr>
        <w:pStyle w:val="ListBullet"/>
      </w:pPr>
      <w:r>
        <w:t>Penetration testing before public launch with child profiles.</w:t>
      </w:r>
    </w:p>
    <w:p>
      <w:pPr>
        <w:pStyle w:val="ListBullet"/>
      </w:pPr>
      <w:r>
        <w:t>Tabletop incident-response exercise.</w:t>
      </w:r>
    </w:p>
    <w:p>
      <w:pPr>
        <w:pStyle w:val="Heading1"/>
      </w:pPr>
      <w:r>
        <w:t>5. Privacy-by-design checkpoints</w:t>
      </w:r>
    </w:p>
    <w:p>
      <w:pPr>
        <w:pStyle w:val="ListBullet"/>
      </w:pPr>
      <w:r>
        <w:t>Data inventory</w:t>
      </w:r>
    </w:p>
    <w:p>
      <w:pPr>
        <w:pStyle w:val="ListBullet"/>
      </w:pPr>
      <w:r>
        <w:t>Purpose mapping</w:t>
      </w:r>
    </w:p>
    <w:p>
      <w:pPr>
        <w:pStyle w:val="ListBullet"/>
      </w:pPr>
      <w:r>
        <w:t>Consent enforcement</w:t>
      </w:r>
    </w:p>
    <w:p>
      <w:pPr>
        <w:pStyle w:val="ListBullet"/>
      </w:pPr>
      <w:r>
        <w:t>Retention/deletion</w:t>
      </w:r>
    </w:p>
    <w:p>
      <w:pPr>
        <w:pStyle w:val="ListBullet"/>
      </w:pPr>
      <w:r>
        <w:t>Vendor register</w:t>
      </w:r>
    </w:p>
    <w:p>
      <w:pPr>
        <w:pStyle w:val="ListBullet"/>
      </w:pPr>
      <w:r>
        <w:t>Access reviews</w:t>
      </w:r>
    </w:p>
    <w:p>
      <w:pPr>
        <w:pStyle w:val="ListBullet"/>
      </w:pPr>
      <w:r>
        <w:t>Audit-log review</w:t>
      </w:r>
    </w:p>
    <w:p>
      <w:pPr>
        <w:pStyle w:val="ListBullet"/>
      </w:pPr>
      <w:r>
        <w:t>Incident response</w:t>
      </w:r>
    </w:p>
    <w:p>
      <w:pPr>
        <w:pStyle w:val="Heading1"/>
      </w:pPr>
      <w:r>
        <w:t>Sources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>https://doi.org/10.1016/S2213-8587(23)00119-5</w:t>
      </w:r>
    </w:p>
    <w:p>
      <w:pPr>
        <w:pStyle w:val="ListNumber"/>
      </w:pPr>
      <w:r>
        <w:rPr>
          <w:b/>
        </w:rPr>
        <w:t xml:space="preserve">S2 — MoSPI HCES 2023-24. </w:t>
      </w:r>
      <w:r>
        <w:t>https://www.mospi.gov.in/sites/default/files/publication_reports/HCES%20FactSheet%202023-24.pdf</w:t>
      </w:r>
    </w:p>
    <w:p>
      <w:pPr>
        <w:pStyle w:val="ListNumber"/>
      </w:pPr>
      <w:r>
        <w:rPr>
          <w:b/>
        </w:rPr>
        <w:t xml:space="preserve">S3 — FSSAI / Supreme Court order 10 Feb 2026. </w:t>
      </w:r>
      <w:r>
        <w:t>https://api.sci.gov.in/supremecourt/2025/35988/35988_2025_6_12_68509_Order_10-Feb-2026.pdf</w:t>
      </w:r>
    </w:p>
    <w:p>
      <w:pPr>
        <w:pStyle w:val="ListNumber"/>
      </w:pPr>
      <w:r>
        <w:rPr>
          <w:b/>
        </w:rPr>
        <w:t xml:space="preserve">S4 — DPDP Act 2023. </w:t>
      </w:r>
      <w:r>
        <w:t>https://www.meity.gov.in/static/uploads/2024/02/Digital-Personal-Data-Protection-Act-2023.pdf</w:t>
      </w:r>
    </w:p>
    <w:p>
      <w:pPr>
        <w:pStyle w:val="ListNumber"/>
      </w:pPr>
      <w:r>
        <w:rPr>
          <w:b/>
        </w:rPr>
        <w:t xml:space="preserve">S5 — DPDP Rules 2025. </w:t>
      </w:r>
      <w:r>
        <w:t>https://www.meity.gov.in/documents/act-and-policies/digital-personal-data-protection-rules-2025</w:t>
      </w:r>
    </w:p>
    <w:p>
      <w:pPr>
        <w:pStyle w:val="ListNumber"/>
      </w:pPr>
      <w:r>
        <w:rPr>
          <w:b/>
        </w:rPr>
        <w:t xml:space="preserve">S6 — JMIR health-app discontinuation review. </w:t>
      </w:r>
      <w:r>
        <w:t>https://www.jmir.org/2024/1/e56897</w:t>
      </w:r>
    </w:p>
    <w:p>
      <w:pPr>
        <w:pStyle w:val="ListNumber"/>
      </w:pPr>
      <w:r>
        <w:rPr>
          <w:b/>
        </w:rPr>
        <w:t xml:space="preserve">S7 — Yuka press/social impact. </w:t>
      </w:r>
      <w:r>
        <w:t>https://yuka.io/en/press/</w:t>
      </w:r>
    </w:p>
    <w:p>
      <w:pPr>
        <w:pStyle w:val="ListNumber"/>
      </w:pPr>
      <w:r>
        <w:rPr>
          <w:b/>
        </w:rPr>
        <w:t xml:space="preserve">S8 — Open Food Facts India milestone. </w:t>
      </w:r>
      <w:r>
        <w:t>https://blog.openfoodfacts.org/en/news/open-food-facts-india-database-reaches-10k-product-milestone</w:t>
      </w:r>
    </w:p>
    <w:p>
      <w:pPr>
        <w:pStyle w:val="ListNumber"/>
      </w:pPr>
      <w:r>
        <w:rPr>
          <w:b/>
        </w:rPr>
        <w:t xml:space="preserve">S9 — HealthifyMe. </w:t>
      </w:r>
      <w:r>
        <w:t>https://www.healthifyme.com/</w:t>
      </w:r>
    </w:p>
    <w:p>
      <w:pPr>
        <w:pStyle w:val="ListNumber"/>
      </w:pPr>
      <w:r>
        <w:rPr>
          <w:b/>
        </w:rPr>
        <w:t xml:space="preserve">S10 — GS1 India Smart Consumer. </w:t>
      </w:r>
      <w:r>
        <w:t>https://www.gs1india.org/services/smart-consumer</w:t>
      </w:r>
    </w:p>
    <w:p>
      <w:pPr>
        <w:pStyle w:val="ListNumber"/>
      </w:pPr>
      <w:r>
        <w:rPr>
          <w:b/>
        </w:rPr>
        <w:t xml:space="preserve">S11 — WHO India/ICRIER UPF report 2023. </w:t>
      </w:r>
      <w:r>
        <w:t>https://www.icrier.org/pdf/UPF_Report_2023.pdf</w:t>
      </w:r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>https://www.nin.res.in/downloads/DietaryGuidelinesforNINwebsite.pdf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