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METHODOLOGY</w:t>
      </w:r>
    </w:p>
    <w:p>
      <w:pPr>
        <w:pStyle w:val="Heading2"/>
      </w:pPr>
      <w:r>
        <w:t>A. System Overview</w:t>
      </w:r>
    </w:p>
    <w:p>
      <w:pPr>
        <w:spacing w:after="80"/>
        <w:ind w:firstLine="360"/>
        <w:jc w:val="both"/>
      </w:pPr>
      <w:r>
        <w:rPr>
          <w:rFonts w:ascii="Times New Roman" w:hAnsi="Times New Roman"/>
          <w:sz w:val="20"/>
        </w:rPr>
        <w:t>The proposed system implements an AI-based real-time fitness monitoring framework leveraging computer vision and human pose estimation to analyze exercise movements from live webcam or uploaded video input. The pipeline comprises four stages: (1) video acquisition and preprocessing, (2) pose estimation and landmark extraction, (3) kinematic analysis including joint angle computation, exercise recognition, repetition counting, and posture evaluation, and (4) feedback delivery and performance analytics. Each frame undergoes sequential processing, enabling continuous monitoring with per-frame latency suitable for real-time interaction. The system supports push-ups, squats, sit-ups, planks, jumping jacks, and bicep curls.</w:t>
      </w:r>
    </w:p>
    <w:p>
      <w:pPr>
        <w:pStyle w:val="Heading2"/>
      </w:pPr>
      <w:r>
        <w:t>B. System Architecture</w:t>
      </w:r>
    </w:p>
    <w:p>
      <w:pPr>
        <w:spacing w:after="80"/>
        <w:ind w:firstLine="360"/>
        <w:jc w:val="both"/>
      </w:pPr>
      <w:r>
        <w:rPr>
          <w:rFonts w:ascii="Times New Roman" w:hAnsi="Times New Roman"/>
          <w:sz w:val="20"/>
        </w:rPr>
        <w:t>The system adopts a modular layered architecture. The Input Layer handles video acquisition via OpenCV. The Processing Layer performs pose detection using MediaPipe PoseLandmarker, extracting 33 anatomical landmarks per frame. The Analysis Layer encapsulates joint angle computation, exercise-specific recognition, frame-stabilized repetition counting, and threshold-based posture evaluation. The Output Layer delivers real-time visual overlay feedback, with a proposed voice feedback module and a proposed analytics dashboard designed for future integration. The Storage Layer persists session data through a backend REST API.</w:t>
      </w:r>
    </w:p>
    <w:p>
      <w:pPr>
        <w:spacing w:before="120" w:after="40"/>
        <w:jc w:val="center"/>
      </w:pPr>
      <w:r>
        <w:rPr>
          <w:rFonts w:ascii="Times New Roman" w:hAnsi="Times New Roman"/>
          <w:b/>
          <w:color w:val="505050"/>
          <w:sz w:val="18"/>
        </w:rPr>
        <w:t>[DIAGRAM: Fig. 1. Overall System Architecture]</w:t>
      </w:r>
    </w:p>
    <w:p>
      <w:pPr>
        <w:spacing w:after="120"/>
        <w:jc w:val="center"/>
      </w:pPr>
      <w:r>
        <w:rPr>
          <w:rFonts w:ascii="Times New Roman" w:hAnsi="Times New Roman"/>
          <w:i/>
          <w:color w:val="646464"/>
          <w:sz w:val="16"/>
        </w:rPr>
        <w:t>Input Layer (Webcam/Video) → Processing Layer (OpenCV → MediaPipe PoseLandmarker → 33-Point Landmark Extraction) → Analysis Layer (Joint Angle Computation → Exercise Recognition → Repetition Counting → Posture Evaluation) → Output Layer (Visual Feedback, Proposed Voice Feedback, Proposed Analytics Dashboard) → Storage Layer (REST API → Database)</w:t>
      </w:r>
    </w:p>
    <w:p>
      <w:pPr>
        <w:pStyle w:val="Heading2"/>
      </w:pPr>
      <w:r>
        <w:t>C. Video Processing Pipeline</w:t>
      </w:r>
    </w:p>
    <w:p>
      <w:pPr>
        <w:spacing w:after="80"/>
        <w:ind w:firstLine="360"/>
        <w:jc w:val="both"/>
      </w:pPr>
      <w:r>
        <w:rPr>
          <w:rFonts w:ascii="Times New Roman" w:hAnsi="Times New Roman"/>
          <w:sz w:val="20"/>
        </w:rPr>
        <w:t>Frame acquisition uses the OpenCV VideoCapture interface, supporting live camera streams and pre-recorded files. Each frame is converted from BGR to RGB and encapsulated as a MediaPipe Image object. For uploaded videos, per-frame time interval is computed as tf = 1/FPS to maintain temporal accuracy in duration-based exercises. Frames are annotated with skeleton overlays and feedback text before JPEG encoding for streaming delivery via HTTP multipart responses.</w:t>
      </w:r>
    </w:p>
    <w:p>
      <w:pPr>
        <w:spacing w:before="120" w:after="40"/>
        <w:jc w:val="center"/>
      </w:pPr>
      <w:r>
        <w:rPr>
          <w:rFonts w:ascii="Times New Roman" w:hAnsi="Times New Roman"/>
          <w:b/>
          <w:color w:val="505050"/>
          <w:sz w:val="18"/>
        </w:rPr>
        <w:t>[DIAGRAM: Fig. 2. Data Flow Pipeline]</w:t>
      </w:r>
    </w:p>
    <w:p>
      <w:pPr>
        <w:spacing w:after="120"/>
        <w:jc w:val="center"/>
      </w:pPr>
      <w:r>
        <w:rPr>
          <w:rFonts w:ascii="Times New Roman" w:hAnsi="Times New Roman"/>
          <w:i/>
          <w:color w:val="646464"/>
          <w:sz w:val="16"/>
        </w:rPr>
        <w:t>Video Source → OpenCV Capture → BGR-to-RGB Conversion → MediaPipe Image Wrap → PoseLandmarker Detection → Landmark Extraction → Skeleton Overlay → JPEG Encode and Stream</w:t>
      </w:r>
    </w:p>
    <w:p>
      <w:pPr>
        <w:pStyle w:val="Heading2"/>
      </w:pPr>
      <w:r>
        <w:t>D. Human Pose Estimation</w:t>
      </w:r>
    </w:p>
    <w:p>
      <w:pPr>
        <w:spacing w:after="80"/>
        <w:ind w:firstLine="360"/>
        <w:jc w:val="both"/>
      </w:pPr>
      <w:r>
        <w:rPr>
          <w:rFonts w:ascii="Times New Roman" w:hAnsi="Times New Roman"/>
          <w:sz w:val="20"/>
        </w:rPr>
        <w:t>The system employs MediaPipe PoseLandmarker, a lightweight neural network optimized for real-time inference. The model is configured with detection, presence, and tracking confidence thresholds of 0.7. For each frame, it produces 33 three-dimensional landmarks spanning the full body. Each landmark li is represented as (xi, yi, zi, vi), where (xi, yi) are normalized image coordinates, zi encodes relative depth, and vi is visibility confidence in the range [0, 1]. Landmarks with vi &lt; 0.3 are excluded from analysis.</w:t>
      </w:r>
    </w:p>
    <w:p>
      <w:pPr>
        <w:spacing w:before="120" w:after="40"/>
        <w:jc w:val="center"/>
      </w:pPr>
      <w:r>
        <w:rPr>
          <w:rFonts w:ascii="Times New Roman" w:hAnsi="Times New Roman"/>
          <w:b/>
          <w:color w:val="505050"/>
          <w:sz w:val="18"/>
        </w:rPr>
        <w:t>[DIAGRAM: Fig. 3. Pose Estimation Pipeline]</w:t>
      </w:r>
    </w:p>
    <w:p>
      <w:pPr>
        <w:spacing w:after="120"/>
        <w:jc w:val="center"/>
      </w:pPr>
      <w:r>
        <w:rPr>
          <w:rFonts w:ascii="Times New Roman" w:hAnsi="Times New Roman"/>
          <w:i/>
          <w:color w:val="646464"/>
          <w:sz w:val="16"/>
        </w:rPr>
        <w:t>Input Frame (RGB Image) → MediaPipe PoseLandmarker → 33 Anatomical Landmarks → Visibility Check (v ≥ 0.3): Pass → Valid Coordinates → Downstream Analysis; Fail → Landmark Excluded</w:t>
      </w:r>
    </w:p>
    <w:p>
      <w:pPr>
        <w:pStyle w:val="Heading2"/>
      </w:pPr>
      <w:r>
        <w:t>E. Landmark Coordinate Processing</w:t>
      </w:r>
    </w:p>
    <w:p>
      <w:pPr>
        <w:spacing w:after="80"/>
        <w:ind w:firstLine="360"/>
        <w:jc w:val="both"/>
      </w:pPr>
      <w:r>
        <w:rPr>
          <w:rFonts w:ascii="Times New Roman" w:hAnsi="Times New Roman"/>
          <w:sz w:val="20"/>
        </w:rPr>
        <w:t>Landmarks are stored as normalized coordinates, providing inherent scale and position invariance. The system performs bilateral selection by computing aggregate visibility scores for left and right anatomical groups, selecting the side with higher cumulative visibility as the primary reference. This ensures robustness to partial occlusion and varying camera angles.</w:t>
      </w:r>
    </w:p>
    <w:p>
      <w:pPr>
        <w:pStyle w:val="Heading2"/>
      </w:pPr>
      <w:r>
        <w:t>F. Joint Angle Computation</w:t>
      </w:r>
    </w:p>
    <w:p>
      <w:pPr>
        <w:spacing w:after="80"/>
        <w:ind w:firstLine="360"/>
        <w:jc w:val="both"/>
      </w:pPr>
      <w:r>
        <w:rPr>
          <w:rFonts w:ascii="Times New Roman" w:hAnsi="Times New Roman"/>
          <w:sz w:val="20"/>
        </w:rPr>
        <w:t>Given three landmark points Pa, Pb (vertex), and Pc, directional vectors A = Pa - Pb and B = Pc - Pb are constructed. The joint angle θ at the vertex Pb is computed using the inverse cosine of the normalized dot product:</w:t>
      </w:r>
    </w:p>
    <w:p>
      <w:pPr>
        <w:spacing w:before="120" w:after="120"/>
        <w:jc w:val="center"/>
      </w:pPr>
      <w:r>
        <w:rPr>
          <w:rFonts w:ascii="Times New Roman" w:hAnsi="Times New Roman"/>
          <w:i/>
          <w:sz w:val="20"/>
        </w:rPr>
        <w:t>θ = cos⁻¹( (A · B) / (|A| × |B|) )</w:t>
      </w:r>
    </w:p>
    <w:p>
      <w:pPr>
        <w:spacing w:after="80"/>
        <w:ind w:firstLine="360"/>
        <w:jc w:val="both"/>
      </w:pPr>
      <w:r>
        <w:rPr>
          <w:rFonts w:ascii="Times New Roman" w:hAnsi="Times New Roman"/>
          <w:sz w:val="20"/>
        </w:rPr>
        <w:t>The cosine value is clipped to [-1, 1] for numerical stability. The system supports both 2D (atan2-based) and 3D angle computation modes.</w:t>
      </w:r>
    </w:p>
    <w:p>
      <w:pPr>
        <w:spacing w:before="120" w:after="40"/>
        <w:jc w:val="center"/>
      </w:pPr>
      <w:r>
        <w:rPr>
          <w:rFonts w:ascii="Times New Roman" w:hAnsi="Times New Roman"/>
          <w:b/>
          <w:color w:val="505050"/>
          <w:sz w:val="18"/>
        </w:rPr>
        <w:t>[DIAGRAM: Fig. 4. Joint Angle Computation Flow]</w:t>
      </w:r>
    </w:p>
    <w:p>
      <w:pPr>
        <w:spacing w:after="120"/>
        <w:jc w:val="center"/>
      </w:pPr>
      <w:r>
        <w:rPr>
          <w:rFonts w:ascii="Times New Roman" w:hAnsi="Times New Roman"/>
          <w:i/>
          <w:color w:val="646464"/>
          <w:sz w:val="16"/>
        </w:rPr>
        <w:t>Point A (Shoulder) and Point C (Wrist) → Construct Vectors A = A−B, B = C−B relative to Point B (Elbow/Vertex) → Dot Product and Magnitudes → θ = cos⁻¹(A·B / |A||B|)</w:t>
      </w:r>
    </w:p>
    <w:p>
      <w:pPr>
        <w:pStyle w:val="Heading2"/>
      </w:pPr>
      <w:r>
        <w:t>G. Exercise Recognition Logic</w:t>
      </w:r>
    </w:p>
    <w:p>
      <w:pPr>
        <w:spacing w:after="80"/>
        <w:ind w:firstLine="360"/>
        <w:jc w:val="both"/>
      </w:pPr>
      <w:r>
        <w:rPr>
          <w:rFonts w:ascii="Times New Roman" w:hAnsi="Times New Roman"/>
          <w:sz w:val="20"/>
        </w:rPr>
        <w:t>Recognition uses rule-based kinematic analysis per exercise. Body orientation is validated: vertical (|x_shoulder - x_hip| &lt; 0.2) for standing exercises such as squats, jumping jacks, and bicep curls; horizontal (|y_shoulder - y_hip| &lt; 0.25) for floor exercises such as push-ups, planks, and sit-ups. Each exercise module implements a dedicated state-update function processing landmarks against exercise-specific thresholds.</w:t>
      </w:r>
    </w:p>
    <w:p>
      <w:pPr>
        <w:pStyle w:val="Heading2"/>
      </w:pPr>
      <w:r>
        <w:t>H. Repetition Counting Algorithm</w:t>
      </w:r>
    </w:p>
    <w:p>
      <w:pPr>
        <w:spacing w:after="80"/>
        <w:ind w:firstLine="360"/>
        <w:jc w:val="both"/>
      </w:pPr>
      <w:r>
        <w:rPr>
          <w:rFonts w:ascii="Times New Roman" w:hAnsi="Times New Roman"/>
          <w:sz w:val="20"/>
        </w:rPr>
        <w:t>Repetition counting employs a frame-stabilized finite state machine (FSM) with hysteresis thresholds. The algorithm maintains UP and DOWN states, requiring N consecutive frames at each threshold to confirm transitions, preventing false counts from noise.</w:t>
      </w:r>
    </w:p>
    <w:p>
      <w:pPr>
        <w:spacing w:before="120" w:after="40"/>
      </w:pPr>
      <w:r>
        <w:rPr>
          <w:rFonts w:ascii="Times New Roman" w:hAnsi="Times New Roman"/>
          <w:b/>
          <w:sz w:val="20"/>
        </w:rPr>
        <w:t>Algorithm 1: Repetition Counting</w:t>
      </w:r>
    </w:p>
    <w:p>
      <w:pPr>
        <w:spacing w:after="0" w:before="0"/>
        <w:ind w:left="720"/>
      </w:pPr>
      <w:r>
        <w:rPr>
          <w:rFonts w:ascii="Courier New" w:hAnsi="Courier New"/>
          <w:sz w:val="18"/>
        </w:rPr>
        <w:t>FUNCTION CountRepetitions(angle θ, state S):</w:t>
      </w:r>
    </w:p>
    <w:p>
      <w:pPr>
        <w:spacing w:after="0" w:before="0"/>
        <w:ind w:left="720"/>
      </w:pPr>
      <w:r>
        <w:rPr>
          <w:rFonts w:ascii="Courier New" w:hAnsi="Courier New"/>
          <w:sz w:val="18"/>
        </w:rPr>
        <w:t xml:space="preserve">    INPUT: joint angle θ, exercise state S</w:t>
      </w:r>
    </w:p>
    <w:p>
      <w:pPr>
        <w:spacing w:after="0" w:before="0"/>
        <w:ind w:left="720"/>
      </w:pPr>
      <w:r>
        <w:rPr>
          <w:rFonts w:ascii="Courier New" w:hAnsi="Courier New"/>
          <w:sz w:val="18"/>
        </w:rPr>
        <w:t xml:space="preserve">    CONSTANTS: θ_down, θ_up, N_frames</w:t>
      </w:r>
    </w:p>
    <w:p>
      <w:pPr>
        <w:spacing w:after="0" w:before="0"/>
        <w:ind w:left="720"/>
      </w:pPr>
      <w:r>
        <w:rPr>
          <w:rFonts w:ascii="Courier New" w:hAnsi="Courier New"/>
          <w:sz w:val="18"/>
        </w:rPr>
      </w:r>
    </w:p>
    <w:p>
      <w:pPr>
        <w:spacing w:after="0" w:before="0"/>
        <w:ind w:left="720"/>
      </w:pPr>
      <w:r>
        <w:rPr>
          <w:rFonts w:ascii="Courier New" w:hAnsi="Courier New"/>
          <w:sz w:val="18"/>
        </w:rPr>
        <w:t xml:space="preserve">    IF θ &lt; θ_down THEN</w:t>
      </w:r>
    </w:p>
    <w:p>
      <w:pPr>
        <w:spacing w:after="0" w:before="0"/>
        <w:ind w:left="720"/>
      </w:pPr>
      <w:r>
        <w:rPr>
          <w:rFonts w:ascii="Courier New" w:hAnsi="Courier New"/>
          <w:sz w:val="18"/>
        </w:rPr>
        <w:t xml:space="preserve">        S.count_down ← S.count_down + 1</w:t>
      </w:r>
    </w:p>
    <w:p>
      <w:pPr>
        <w:spacing w:after="0" w:before="0"/>
        <w:ind w:left="720"/>
      </w:pPr>
      <w:r>
        <w:rPr>
          <w:rFonts w:ascii="Courier New" w:hAnsi="Courier New"/>
          <w:sz w:val="18"/>
        </w:rPr>
        <w:t xml:space="preserve">        S.count_up ← 0</w:t>
      </w:r>
    </w:p>
    <w:p>
      <w:pPr>
        <w:spacing w:after="0" w:before="0"/>
        <w:ind w:left="720"/>
      </w:pPr>
      <w:r>
        <w:rPr>
          <w:rFonts w:ascii="Courier New" w:hAnsi="Courier New"/>
          <w:sz w:val="18"/>
        </w:rPr>
        <w:t xml:space="preserve">        IF S.count_down ≥ N AND NOT S.is_down THEN</w:t>
      </w:r>
    </w:p>
    <w:p>
      <w:pPr>
        <w:spacing w:after="0" w:before="0"/>
        <w:ind w:left="720"/>
      </w:pPr>
      <w:r>
        <w:rPr>
          <w:rFonts w:ascii="Courier New" w:hAnsi="Courier New"/>
          <w:sz w:val="18"/>
        </w:rPr>
        <w:t xml:space="preserve">            S.is_down ← TRUE</w:t>
      </w:r>
    </w:p>
    <w:p>
      <w:pPr>
        <w:spacing w:after="0" w:before="0"/>
        <w:ind w:left="720"/>
      </w:pPr>
      <w:r>
        <w:rPr>
          <w:rFonts w:ascii="Courier New" w:hAnsi="Courier New"/>
          <w:sz w:val="18"/>
        </w:rPr>
        <w:t xml:space="preserve">    ELSE IF θ &gt; θ_up THEN</w:t>
      </w:r>
    </w:p>
    <w:p>
      <w:pPr>
        <w:spacing w:after="0" w:before="0"/>
        <w:ind w:left="720"/>
      </w:pPr>
      <w:r>
        <w:rPr>
          <w:rFonts w:ascii="Courier New" w:hAnsi="Courier New"/>
          <w:sz w:val="18"/>
        </w:rPr>
        <w:t xml:space="preserve">        S.count_up ← S.count_up + 1</w:t>
      </w:r>
    </w:p>
    <w:p>
      <w:pPr>
        <w:spacing w:after="0" w:before="0"/>
        <w:ind w:left="720"/>
      </w:pPr>
      <w:r>
        <w:rPr>
          <w:rFonts w:ascii="Courier New" w:hAnsi="Courier New"/>
          <w:sz w:val="18"/>
        </w:rPr>
        <w:t xml:space="preserve">        S.count_down ← 0</w:t>
      </w:r>
    </w:p>
    <w:p>
      <w:pPr>
        <w:spacing w:after="0" w:before="0"/>
        <w:ind w:left="720"/>
      </w:pPr>
      <w:r>
        <w:rPr>
          <w:rFonts w:ascii="Courier New" w:hAnsi="Courier New"/>
          <w:sz w:val="18"/>
        </w:rPr>
        <w:t xml:space="preserve">        IF S.count_up ≥ N AND S.is_down THEN</w:t>
      </w:r>
    </w:p>
    <w:p>
      <w:pPr>
        <w:spacing w:after="0" w:before="0"/>
        <w:ind w:left="720"/>
      </w:pPr>
      <w:r>
        <w:rPr>
          <w:rFonts w:ascii="Courier New" w:hAnsi="Courier New"/>
          <w:sz w:val="18"/>
        </w:rPr>
        <w:t xml:space="preserve">            S.reps ← S.reps + 1</w:t>
      </w:r>
    </w:p>
    <w:p>
      <w:pPr>
        <w:spacing w:after="0" w:before="0"/>
        <w:ind w:left="720"/>
      </w:pPr>
      <w:r>
        <w:rPr>
          <w:rFonts w:ascii="Courier New" w:hAnsi="Courier New"/>
          <w:sz w:val="18"/>
        </w:rPr>
        <w:t xml:space="preserve">            S.is_down ← FALSE</w:t>
      </w:r>
    </w:p>
    <w:p>
      <w:pPr>
        <w:spacing w:after="0" w:before="0"/>
        <w:ind w:left="720"/>
      </w:pPr>
      <w:r>
        <w:rPr>
          <w:rFonts w:ascii="Courier New" w:hAnsi="Courier New"/>
          <w:sz w:val="18"/>
        </w:rPr>
        <w:t xml:space="preserve">    RETURN S</w:t>
      </w:r>
    </w:p>
    <w:p>
      <w:pPr>
        <w:spacing w:after="80"/>
        <w:ind w:firstLine="360"/>
        <w:jc w:val="both"/>
      </w:pPr>
      <w:r>
        <w:rPr>
          <w:rFonts w:ascii="Times New Roman" w:hAnsi="Times New Roman"/>
          <w:sz w:val="20"/>
        </w:rPr>
        <w:t>Exercise-specific thresholds: push-ups (θ_down = 110°, θ_up = 145°, N = 2), squats (θ_down = 100°, θ_up = 160°, N = 3), sit-ups (θ_down = 90°, θ_up = 150°, N = 3).</w:t>
      </w:r>
    </w:p>
    <w:p>
      <w:pPr>
        <w:spacing w:before="120" w:after="40"/>
        <w:jc w:val="center"/>
      </w:pPr>
      <w:r>
        <w:rPr>
          <w:rFonts w:ascii="Times New Roman" w:hAnsi="Times New Roman"/>
          <w:b/>
          <w:color w:val="505050"/>
          <w:sz w:val="18"/>
        </w:rPr>
        <w:t>[DIAGRAM: Fig. 5. Repetition Counting State Machine]</w:t>
      </w:r>
    </w:p>
    <w:p>
      <w:pPr>
        <w:spacing w:after="120"/>
        <w:jc w:val="center"/>
      </w:pPr>
      <w:r>
        <w:rPr>
          <w:rFonts w:ascii="Times New Roman" w:hAnsi="Times New Roman"/>
          <w:i/>
          <w:color w:val="646464"/>
          <w:sz w:val="16"/>
        </w:rPr>
        <w:t>UP_STATE → (if θ &lt; θ_down) → CONFIRMING_DOWN → (if frames ≥ N) → DOWN_STATE → (if θ &gt; θ_up) → CONFIRMING_UP → (if frames ≥ N, count++) → UP_STATE</w:t>
      </w:r>
    </w:p>
    <w:p>
      <w:pPr>
        <w:pStyle w:val="Heading2"/>
      </w:pPr>
      <w:r>
        <w:t>I. Posture Evaluation Model</w:t>
      </w:r>
    </w:p>
    <w:p>
      <w:pPr>
        <w:spacing w:after="80"/>
        <w:ind w:firstLine="360"/>
        <w:jc w:val="both"/>
      </w:pPr>
      <w:r>
        <w:rPr>
          <w:rFonts w:ascii="Times New Roman" w:hAnsi="Times New Roman"/>
          <w:sz w:val="20"/>
        </w:rPr>
        <w:t>Posture correctness uses a multi-criteria threshold model. The posture correctness score Sp for a single repetition is defined as follows:</w:t>
      </w:r>
    </w:p>
    <w:p>
      <w:pPr>
        <w:spacing w:before="120" w:after="120"/>
        <w:jc w:val="center"/>
      </w:pPr>
      <w:r>
        <w:rPr>
          <w:rFonts w:ascii="Times New Roman" w:hAnsi="Times New Roman"/>
          <w:i/>
          <w:sz w:val="20"/>
        </w:rPr>
        <w:t>Sp = 3,  if θ_min ≤ θ_perfect  AND  |I| = 0</w:t>
        <w:br/>
        <w:t>Sp = 2,  if θ_min ≤ θ_good     AND  |I| = 0</w:t>
        <w:br/>
        <w:t>Sp = 1,  if θ_min ≤ θ_down</w:t>
        <w:br/>
        <w:t>Sp = 0,  otherwise</w:t>
      </w:r>
    </w:p>
    <w:p>
      <w:pPr>
        <w:spacing w:after="80"/>
        <w:ind w:firstLine="360"/>
        <w:jc w:val="both"/>
      </w:pPr>
      <w:r>
        <w:rPr>
          <w:rFonts w:ascii="Times New Roman" w:hAnsi="Times New Roman"/>
          <w:sz w:val="20"/>
        </w:rPr>
        <w:t>where θ_min is the minimum angle during the repetition, θ_perfect and θ_good are quality thresholds (e.g., 90° and 100° for push-ups), and |I| is the count of detected form issues such as hip sagging or elbow flaring. A repetition is classified as correct when Sp ≥ 2 and |I| = 0. The overall session accuracy is computed as A = N_correct / N_total × 100%.</w:t>
      </w:r>
    </w:p>
    <w:p>
      <w:pPr>
        <w:spacing w:before="120" w:after="40"/>
      </w:pPr>
      <w:r>
        <w:rPr>
          <w:rFonts w:ascii="Times New Roman" w:hAnsi="Times New Roman"/>
          <w:b/>
          <w:sz w:val="20"/>
        </w:rPr>
        <w:t>Algorithm 2: Posture Evaluation</w:t>
      </w:r>
    </w:p>
    <w:p>
      <w:pPr>
        <w:spacing w:after="0" w:before="0"/>
        <w:ind w:left="720"/>
      </w:pPr>
      <w:r>
        <w:rPr>
          <w:rFonts w:ascii="Courier New" w:hAnsi="Courier New"/>
          <w:sz w:val="18"/>
        </w:rPr>
        <w:t>FUNCTION EvaluatePosture(θ_min, issues):</w:t>
      </w:r>
    </w:p>
    <w:p>
      <w:pPr>
        <w:spacing w:after="0" w:before="0"/>
        <w:ind w:left="720"/>
      </w:pPr>
      <w:r>
        <w:rPr>
          <w:rFonts w:ascii="Courier New" w:hAnsi="Courier New"/>
          <w:sz w:val="18"/>
        </w:rPr>
        <w:t xml:space="preserve">    IF θ_min ≤ θ_perfect AND |issues| = 0 THEN</w:t>
      </w:r>
    </w:p>
    <w:p>
      <w:pPr>
        <w:spacing w:after="0" w:before="0"/>
        <w:ind w:left="720"/>
      </w:pPr>
      <w:r>
        <w:rPr>
          <w:rFonts w:ascii="Courier New" w:hAnsi="Courier New"/>
          <w:sz w:val="18"/>
        </w:rPr>
        <w:t xml:space="preserve">        RETURN score ← 3, label ← "Excellent"</w:t>
      </w:r>
    </w:p>
    <w:p>
      <w:pPr>
        <w:spacing w:after="0" w:before="0"/>
        <w:ind w:left="720"/>
      </w:pPr>
      <w:r>
        <w:rPr>
          <w:rFonts w:ascii="Courier New" w:hAnsi="Courier New"/>
          <w:sz w:val="18"/>
        </w:rPr>
        <w:t xml:space="preserve">    ELSE IF θ_min ≤ θ_good AND |issues| = 0 THEN</w:t>
      </w:r>
    </w:p>
    <w:p>
      <w:pPr>
        <w:spacing w:after="0" w:before="0"/>
        <w:ind w:left="720"/>
      </w:pPr>
      <w:r>
        <w:rPr>
          <w:rFonts w:ascii="Courier New" w:hAnsi="Courier New"/>
          <w:sz w:val="18"/>
        </w:rPr>
        <w:t xml:space="preserve">        RETURN score ← 2, label ← "Good"</w:t>
      </w:r>
    </w:p>
    <w:p>
      <w:pPr>
        <w:spacing w:after="0" w:before="0"/>
        <w:ind w:left="720"/>
      </w:pPr>
      <w:r>
        <w:rPr>
          <w:rFonts w:ascii="Courier New" w:hAnsi="Courier New"/>
          <w:sz w:val="18"/>
        </w:rPr>
        <w:t xml:space="preserve">    ELSE IF θ_min ≤ θ_down THEN</w:t>
      </w:r>
    </w:p>
    <w:p>
      <w:pPr>
        <w:spacing w:after="0" w:before="0"/>
        <w:ind w:left="720"/>
      </w:pPr>
      <w:r>
        <w:rPr>
          <w:rFonts w:ascii="Courier New" w:hAnsi="Courier New"/>
          <w:sz w:val="18"/>
        </w:rPr>
        <w:t xml:space="preserve">        RETURN score ← 1, label ← "Shallow"</w:t>
      </w:r>
    </w:p>
    <w:p>
      <w:pPr>
        <w:spacing w:after="0" w:before="0"/>
        <w:ind w:left="720"/>
      </w:pPr>
      <w:r>
        <w:rPr>
          <w:rFonts w:ascii="Courier New" w:hAnsi="Courier New"/>
          <w:sz w:val="18"/>
        </w:rPr>
        <w:t xml:space="preserve">    ELSE</w:t>
      </w:r>
    </w:p>
    <w:p>
      <w:pPr>
        <w:spacing w:after="0" w:before="0"/>
        <w:ind w:left="720"/>
      </w:pPr>
      <w:r>
        <w:rPr>
          <w:rFonts w:ascii="Courier New" w:hAnsi="Courier New"/>
          <w:sz w:val="18"/>
        </w:rPr>
        <w:t xml:space="preserve">        RETURN score ← 0, label ← "Incomplete"</w:t>
      </w:r>
    </w:p>
    <w:p>
      <w:pPr>
        <w:spacing w:before="120" w:after="40"/>
        <w:jc w:val="center"/>
      </w:pPr>
      <w:r>
        <w:rPr>
          <w:rFonts w:ascii="Times New Roman" w:hAnsi="Times New Roman"/>
          <w:b/>
          <w:color w:val="505050"/>
          <w:sz w:val="18"/>
        </w:rPr>
        <w:t>[DIAGRAM: Fig. 6. Posture Evaluation Logic]</w:t>
      </w:r>
    </w:p>
    <w:p>
      <w:pPr>
        <w:spacing w:after="120"/>
        <w:jc w:val="center"/>
      </w:pPr>
      <w:r>
        <w:rPr>
          <w:rFonts w:ascii="Times New Roman" w:hAnsi="Times New Roman"/>
          <w:i/>
          <w:color w:val="646464"/>
          <w:sz w:val="16"/>
        </w:rPr>
        <w:t>Frame Landmarks → Compute Body Alignment Angle + Track Min Joint Angle → Check Hip Sag (angle &lt; 150°) / Hip Pike (angle &gt; 200°) → Add Issues → Depth Assessment: θ ≤ 90° = Score 3, θ ≤ 100° = Score 2, θ ≤ 110° = Score 1, else = Score 0</w:t>
      </w:r>
    </w:p>
    <w:p>
      <w:pPr>
        <w:pStyle w:val="Heading2"/>
      </w:pPr>
      <w:r>
        <w:t>J. Proposed Real-Time Voice Feedback Module</w:t>
      </w:r>
    </w:p>
    <w:p>
      <w:pPr>
        <w:spacing w:after="80"/>
        <w:ind w:firstLine="360"/>
        <w:jc w:val="both"/>
      </w:pPr>
      <w:r>
        <w:rPr>
          <w:rFonts w:ascii="Times New Roman" w:hAnsi="Times New Roman"/>
          <w:sz w:val="20"/>
        </w:rPr>
        <w:t>A voice feedback module is designed as a proposed component operating through four stages: (1) event detection triggering on posture deviations or repetition completions, (2) message generation via priority queue with deduplication, (3) speech synthesis through a TTS engine, and (4) audio delivery to the client. The planned design includes latency gating (minimum interval of 2 seconds between consecutive outputs) and priority-based scheduling favoring safety-critical corrections.</w:t>
      </w:r>
    </w:p>
    <w:p>
      <w:pPr>
        <w:spacing w:before="120" w:after="40"/>
        <w:jc w:val="center"/>
      </w:pPr>
      <w:r>
        <w:rPr>
          <w:rFonts w:ascii="Times New Roman" w:hAnsi="Times New Roman"/>
          <w:b/>
          <w:color w:val="505050"/>
          <w:sz w:val="18"/>
        </w:rPr>
        <w:t>[DIAGRAM: Fig. 7. Proposed Voice Feedback Pipeline]</w:t>
      </w:r>
    </w:p>
    <w:p>
      <w:pPr>
        <w:spacing w:after="120"/>
        <w:jc w:val="center"/>
      </w:pPr>
      <w:r>
        <w:rPr>
          <w:rFonts w:ascii="Times New Roman" w:hAnsi="Times New Roman"/>
          <w:i/>
          <w:color w:val="646464"/>
          <w:sz w:val="16"/>
        </w:rPr>
        <w:t>Posture Event Detected → Priority Queue and Deduplication → Message Template Selection → TTS Engine (Proposed) → Audio Output to Client; with Latency Gate (Δt ≥ 2s)</w:t>
      </w:r>
    </w:p>
    <w:p>
      <w:pPr>
        <w:pStyle w:val="Heading2"/>
      </w:pPr>
      <w:r>
        <w:t>K. Proposed Performance Analytics Dashboard</w:t>
      </w:r>
    </w:p>
    <w:p>
      <w:pPr>
        <w:spacing w:after="80"/>
        <w:ind w:firstLine="360"/>
        <w:jc w:val="both"/>
      </w:pPr>
      <w:r>
        <w:rPr>
          <w:rFonts w:ascii="Times New Roman" w:hAnsi="Times New Roman"/>
          <w:sz w:val="20"/>
        </w:rPr>
        <w:t>A web-based dashboard is designed as a proposed module for longitudinal tracking. The pipeline encompasses metric computation (repetitions, accuracy, depth scores), data persistence via REST API, statistical analysis (moving averages, improvement ratios), and visualization through a planned React.js frontend rendering interactive charts and progress summaries.</w:t>
      </w:r>
    </w:p>
    <w:p>
      <w:pPr>
        <w:spacing w:before="120" w:after="40"/>
        <w:jc w:val="center"/>
      </w:pPr>
      <w:r>
        <w:rPr>
          <w:rFonts w:ascii="Times New Roman" w:hAnsi="Times New Roman"/>
          <w:b/>
          <w:color w:val="505050"/>
          <w:sz w:val="18"/>
        </w:rPr>
        <w:t>[DIAGRAM: Fig. 8. Proposed Analytics Data Pipeline]</w:t>
      </w:r>
    </w:p>
    <w:p>
      <w:pPr>
        <w:spacing w:after="120"/>
        <w:jc w:val="center"/>
      </w:pPr>
      <w:r>
        <w:rPr>
          <w:rFonts w:ascii="Times New Roman" w:hAnsi="Times New Roman"/>
          <w:i/>
          <w:color w:val="646464"/>
          <w:sz w:val="16"/>
        </w:rPr>
        <w:t>Session Metrics → REST API → Database Storage → Statistical Analysis → Trend Computation → React.js Dashboard (Proposed) → Charts and Reports</w:t>
      </w:r>
    </w:p>
    <w:p>
      <w:pPr>
        <w:pStyle w:val="Heading2"/>
      </w:pPr>
      <w:r>
        <w:t>L. Backend and Database Integration</w:t>
      </w:r>
    </w:p>
    <w:p>
      <w:pPr>
        <w:spacing w:after="80"/>
        <w:ind w:firstLine="360"/>
        <w:jc w:val="both"/>
      </w:pPr>
      <w:r>
        <w:rPr>
          <w:rFonts w:ascii="Times New Roman" w:hAnsi="Times New Roman"/>
          <w:sz w:val="20"/>
        </w:rPr>
        <w:t>The Django backend exposes endpoints for video upload, live streaming, and status polling. Uploads are analyzed frame-by-frame, returning aggregated JSON results. Live streaming uses StreamingHttpResponse with MJPEG encoding. Session data including repetition counts, quality scores, form issues, and timestamps is serialized and persisted.</w:t>
      </w:r>
    </w:p>
    <w:p>
      <w:pPr>
        <w:spacing w:before="120" w:after="40"/>
        <w:jc w:val="center"/>
      </w:pPr>
      <w:r>
        <w:rPr>
          <w:rFonts w:ascii="Times New Roman" w:hAnsi="Times New Roman"/>
          <w:b/>
          <w:color w:val="505050"/>
          <w:sz w:val="18"/>
        </w:rPr>
        <w:t>[DIAGRAM: Fig. 9. Backend and Database Interaction]</w:t>
      </w:r>
    </w:p>
    <w:p>
      <w:pPr>
        <w:spacing w:after="120"/>
        <w:jc w:val="center"/>
      </w:pPr>
      <w:r>
        <w:rPr>
          <w:rFonts w:ascii="Times New Roman" w:hAnsi="Times New Roman"/>
          <w:i/>
          <w:color w:val="646464"/>
          <w:sz w:val="16"/>
        </w:rPr>
        <w:t>Client (Browser) → Upload/Stream → Django Views → Analysis Engine → JSON Serializer → Store to Database / Response to Client; MJPEG Stream to Client</w:t>
      </w:r>
    </w:p>
    <w:p>
      <w:pPr>
        <w:pStyle w:val="Heading2"/>
      </w:pPr>
      <w:r>
        <w:t>M. System Workflow Integration</w:t>
      </w:r>
    </w:p>
    <w:p>
      <w:pPr>
        <w:spacing w:after="80"/>
        <w:ind w:firstLine="360"/>
        <w:jc w:val="both"/>
      </w:pPr>
      <w:r>
        <w:rPr>
          <w:rFonts w:ascii="Times New Roman" w:hAnsi="Times New Roman"/>
          <w:sz w:val="20"/>
        </w:rPr>
        <w:t>Upon session initialization, the video source opens and the exercise-specific FSM is configured. Per frame: capture, pose detection, angle computation, state update, posture assessment, visual overlay, and stream delivery. Upon termination, aggregated metrics are stored. Proposed voice and analytics modules are designed for seamless integration at the feedback stage.</w:t>
      </w:r>
    </w:p>
    <w:p>
      <w:pPr>
        <w:spacing w:before="120" w:after="40"/>
        <w:jc w:val="center"/>
      </w:pPr>
      <w:r>
        <w:rPr>
          <w:rFonts w:ascii="Times New Roman" w:hAnsi="Times New Roman"/>
          <w:b/>
          <w:color w:val="505050"/>
          <w:sz w:val="18"/>
        </w:rPr>
        <w:t>[DIAGRAM: Fig. 10. End-to-End System Workflow]</w:t>
      </w:r>
    </w:p>
    <w:p>
      <w:pPr>
        <w:spacing w:after="120"/>
        <w:jc w:val="center"/>
      </w:pPr>
      <w:r>
        <w:rPr>
          <w:rFonts w:ascii="Times New Roman" w:hAnsi="Times New Roman"/>
          <w:i/>
          <w:color w:val="646464"/>
          <w:sz w:val="16"/>
        </w:rPr>
        <w:t>Initialize Session → Capture Frame → Detect Landmarks → Compute Angles → Update FSM → Evaluate Posture → Render Overlay → Stream to Client → Loop if Active, else Store Metrics. Proposed modules (Voice Feedback, Dashboard) integrate at Posture Evaluation and Metrics Storage stages.</w:t>
      </w:r>
    </w:p>
    <w:p>
      <w:pPr>
        <w:pStyle w:val="Heading2"/>
      </w:pPr>
      <w:r>
        <w:t>N. Computational Considerations</w:t>
      </w:r>
    </w:p>
    <w:p>
      <w:pPr>
        <w:spacing w:after="80"/>
        <w:ind w:firstLine="360"/>
        <w:jc w:val="both"/>
      </w:pPr>
      <w:r>
        <w:rPr>
          <w:rFonts w:ascii="Times New Roman" w:hAnsi="Times New Roman"/>
          <w:sz w:val="20"/>
        </w:rPr>
        <w:t>Real-time performance is achieved through several strategies. MediaPipe PoseLandmarker operates with sub-30ms latency on standard CPU hardware, enabling 30 FPS processing. Rule-based analysis runs in O(1) per frame. Frame stabilization introduces controlled latency of N_frames / FPS seconds per transition while eliminating false detections from landmark jitter. Memory overhead is minimized by maintaining only current-frame landmarks and compact state dictionaries.</w:t>
      </w:r>
    </w:p>
    <w:sectPr w:rsidR="00FC693F" w:rsidRPr="0006063C" w:rsidSect="00034616">
      <w:pgSz w:w="12240" w:h="15840"/>
      <w:pgMar w:top="1440" w:right="126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