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82B49"/>
          <w:sz w:val="44"/>
        </w:rPr>
        <w:t>Dengue Fever: Comprehensive Overview</w:t>
      </w:r>
    </w:p>
    <w:p>
      <w:pPr>
        <w:spacing w:after="320"/>
      </w:pPr>
      <w:r>
        <w:rPr>
          <w:i/>
          <w:color w:val="777777"/>
          <w:sz w:val="22"/>
        </w:rPr>
        <w:t>Transmission, Symptoms, Warning Signs, Management, and Prevention</w:t>
      </w:r>
    </w:p>
    <w:p>
      <w:pPr>
        <w:spacing w:after="320"/>
        <w:pBdr>
          <w:bottom w:val="single" w:sz="12" w:space="1" w:color="182B49"/>
        </w:pBdr>
      </w:pPr>
    </w:p>
    <w:p>
      <w:pPr>
        <w:spacing w:after="240" w:line="276" w:lineRule="auto"/>
      </w:pPr>
      <w:r>
        <w:t xml:space="preserve">Dengue is a viral infection transmitted to humans through the bite of infected mosquitoes, primarily the </w:t>
      </w:r>
      <w:r>
        <w:rPr>
          <w:i/>
        </w:rPr>
        <w:t>Aedes aegypti</w:t>
      </w:r>
      <w:r>
        <w:t xml:space="preserve"> mosquito. It is most commonly found in tropical and subtropical regions.</w:t>
      </w:r>
    </w:p>
    <w:p>
      <w:pPr>
        <w:spacing w:before="280" w:after="80"/>
      </w:pPr>
      <w:r>
        <w:rPr>
          <w:rFonts w:ascii="Calibri" w:hAnsi="Calibri"/>
          <w:b/>
          <w:color w:val="182B49"/>
          <w:sz w:val="26"/>
        </w:rPr>
        <w:t>1. Transmission</w:t>
      </w:r>
    </w:p>
    <w:p>
      <w:pPr>
        <w:pStyle w:val="ListBullet"/>
        <w:spacing w:after="60" w:line="276" w:lineRule="auto"/>
      </w:pPr>
      <w:r>
        <w:rPr>
          <w:b/>
        </w:rPr>
        <w:t xml:space="preserve">Vector: </w:t>
      </w:r>
      <w:r>
        <w:t>Spread by mosquitoes that bite primarily during the day (most active in the early morning and before sunset).</w:t>
      </w:r>
    </w:p>
    <w:p>
      <w:pPr>
        <w:pStyle w:val="ListBullet"/>
        <w:spacing w:after="60" w:line="276" w:lineRule="auto"/>
      </w:pPr>
      <w:r>
        <w:rPr>
          <w:b/>
        </w:rPr>
        <w:t xml:space="preserve">Not Contagious: </w:t>
      </w:r>
      <w:r>
        <w:t>Dengue does not spread directly from person to person.</w:t>
      </w:r>
    </w:p>
    <w:p>
      <w:pPr>
        <w:spacing w:before="280" w:after="80"/>
      </w:pPr>
      <w:r>
        <w:rPr>
          <w:rFonts w:ascii="Calibri" w:hAnsi="Calibri"/>
          <w:b/>
          <w:color w:val="182B49"/>
          <w:sz w:val="26"/>
        </w:rPr>
        <w:t>2. Common Symptoms (Appearing 4–10 days post-bite, lasting 2–7 days)</w:t>
      </w:r>
    </w:p>
    <w:p>
      <w:pPr>
        <w:pStyle w:val="ListBullet"/>
        <w:spacing w:after="60" w:line="276" w:lineRule="auto"/>
      </w:pPr>
      <w:r>
        <w:rPr>
          <w:b/>
        </w:rPr>
        <w:t xml:space="preserve">Fever: </w:t>
      </w:r>
      <w:r>
        <w:t>Sudden high fever (up to 104°F / 40°C).</w:t>
      </w:r>
    </w:p>
    <w:p>
      <w:pPr>
        <w:pStyle w:val="ListBullet"/>
        <w:spacing w:after="60" w:line="276" w:lineRule="auto"/>
      </w:pPr>
      <w:r>
        <w:rPr>
          <w:b/>
        </w:rPr>
        <w:t xml:space="preserve">Pain: </w:t>
      </w:r>
      <w:r>
        <w:t>Severe headache and intense pain behind the eyes, as well as muscle, bone, and joint pain (often called 'break-bone fever').</w:t>
      </w:r>
    </w:p>
    <w:p>
      <w:pPr>
        <w:pStyle w:val="ListBullet"/>
        <w:spacing w:after="60" w:line="276" w:lineRule="auto"/>
      </w:pPr>
      <w:r>
        <w:rPr>
          <w:b/>
        </w:rPr>
        <w:t xml:space="preserve">Digestive &amp; Skin: </w:t>
      </w:r>
      <w:r>
        <w:t>Nausea, vomiting, skin rash, and swollen glands.</w:t>
      </w:r>
    </w:p>
    <w:p>
      <w:pPr>
        <w:spacing w:before="280" w:after="80"/>
      </w:pPr>
      <w:r>
        <w:rPr>
          <w:rFonts w:ascii="Calibri" w:hAnsi="Calibri"/>
          <w:b/>
          <w:color w:val="182B49"/>
          <w:sz w:val="26"/>
        </w:rPr>
        <w:t>3. Warning Signs of Severe Dengue (Medical Emergency)</w:t>
      </w:r>
    </w:p>
    <w:p>
      <w:pPr>
        <w:pStyle w:val="ListBullet"/>
        <w:spacing w:after="60" w:line="276" w:lineRule="auto"/>
      </w:pPr>
      <w:r>
        <w:rPr>
          <w:b/>
        </w:rPr>
        <w:t xml:space="preserve">Critical Window: </w:t>
      </w:r>
      <w:r>
        <w:t>Warning signs typically appear 3 to 7 days after symptoms begin (often as the fever subsides).</w:t>
      </w:r>
    </w:p>
    <w:p>
      <w:pPr>
        <w:pStyle w:val="ListBullet"/>
        <w:spacing w:after="60" w:line="276" w:lineRule="auto"/>
      </w:pPr>
      <w:r>
        <w:rPr>
          <w:b/>
        </w:rPr>
        <w:t xml:space="preserve">Emergency Symptoms: </w:t>
      </w:r>
      <w:r>
        <w:t>Severe abdominal pain, persistent or continuous vomiting, bleeding gums or nosebleeds, blood in vomit or stool, extreme fatigue/restlessness, and rapid breathing.</w:t>
      </w:r>
    </w:p>
    <w:p>
      <w:pPr>
        <w:spacing w:before="280" w:after="80"/>
      </w:pPr>
      <w:r>
        <w:rPr>
          <w:rFonts w:ascii="Calibri" w:hAnsi="Calibri"/>
          <w:b/>
          <w:color w:val="182B49"/>
          <w:sz w:val="26"/>
        </w:rPr>
        <w:t>4. Treatment &amp; Management</w:t>
      </w:r>
    </w:p>
    <w:p>
      <w:pPr>
        <w:pStyle w:val="ListBullet"/>
        <w:spacing w:after="60" w:line="276" w:lineRule="auto"/>
      </w:pPr>
      <w:r>
        <w:rPr>
          <w:b/>
        </w:rPr>
        <w:t xml:space="preserve">No Specific Cure: </w:t>
      </w:r>
      <w:r>
        <w:t>There is no specific antiviral medication for dengue; treatment focuses on symptom management.</w:t>
      </w:r>
    </w:p>
    <w:p>
      <w:pPr>
        <w:pStyle w:val="ListBullet"/>
        <w:spacing w:after="60" w:line="276" w:lineRule="auto"/>
      </w:pPr>
      <w:r>
        <w:rPr>
          <w:b/>
        </w:rPr>
        <w:t xml:space="preserve">Hydration &amp; Rest: </w:t>
      </w:r>
      <w:r>
        <w:t>Drinking plenty of fluids (water, oral rehydration solutions, coconut water) is crucial to prevent dehydration.</w:t>
      </w:r>
    </w:p>
    <w:p>
      <w:pPr>
        <w:pStyle w:val="ListBullet"/>
        <w:spacing w:after="60" w:line="276" w:lineRule="auto"/>
      </w:pPr>
      <w:r>
        <w:rPr>
          <w:b/>
        </w:rPr>
        <w:t xml:space="preserve">Medication Caution: </w:t>
      </w:r>
      <w:r>
        <w:t>Use paracetamol (acetaminophen) for fever and pain. Avoid non-steroidal anti-inflammatory drugs (NSAIDs) like ibuprofen and aspirin, as they significantly increase bleeding risks.</w:t>
      </w:r>
    </w:p>
    <w:p>
      <w:pPr>
        <w:pStyle w:val="ListBullet"/>
        <w:spacing w:after="60" w:line="276" w:lineRule="auto"/>
      </w:pPr>
      <w:r>
        <w:rPr>
          <w:b/>
        </w:rPr>
        <w:t xml:space="preserve">Medical Supervision: </w:t>
      </w:r>
      <w:r>
        <w:t>Severe cases require immediate hospitalization for intravenous (IV) fluids and supportive monitoring.</w:t>
      </w:r>
    </w:p>
    <w:p>
      <w:pPr>
        <w:spacing w:before="280" w:after="80"/>
      </w:pPr>
      <w:r>
        <w:rPr>
          <w:rFonts w:ascii="Calibri" w:hAnsi="Calibri"/>
          <w:b/>
          <w:color w:val="182B49"/>
          <w:sz w:val="26"/>
        </w:rPr>
        <w:t>5. Prevention</w:t>
      </w:r>
    </w:p>
    <w:p>
      <w:pPr>
        <w:pStyle w:val="ListBullet"/>
        <w:spacing w:after="60" w:line="276" w:lineRule="auto"/>
      </w:pPr>
      <w:r>
        <w:rPr>
          <w:b/>
        </w:rPr>
        <w:t xml:space="preserve">Mosquito Protection: </w:t>
      </w:r>
      <w:r>
        <w:t>Use insect repellent (DEET, picaridin, oil of lemon eucalyptus), wear long sleeves/pants, and utilize window screens or mosquito nets.</w:t>
      </w:r>
    </w:p>
    <w:p>
      <w:pPr>
        <w:pStyle w:val="ListBullet"/>
        <w:spacing w:after="60" w:line="276" w:lineRule="auto"/>
      </w:pPr>
      <w:r>
        <w:rPr>
          <w:b/>
        </w:rPr>
        <w:t xml:space="preserve">Eliminate Stagnant Water: </w:t>
      </w:r>
      <w:r>
        <w:t>Empty, clean, or cover containers (flower pots, buckets, tires) where mosquitoes breed.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