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>SWTID-2026-8886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>Implement Client Script and UI Policy for Incident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731510" cy="4185285"/>
            <wp:effectExtent b="0" l="0" r="0" t="0"/>
            <wp:docPr descr="Graphical user interface, application&#10;&#10;Description automatically generated" id="6" name="image3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5731510" cy="3827780"/>
            <wp:effectExtent b="0" l="0" r="0" t="0"/>
            <wp:docPr descr="Graphical user interface, treemap chart&#10;&#10;Description automatically generated" id="8" name="image2.png"/>
            <a:graphic>
              <a:graphicData uri="http://schemas.openxmlformats.org/drawingml/2006/picture">
                <pic:pic>
                  <pic:nvPicPr>
                    <pic:cNvPr descr="Graphical user interface, treemap chart&#10;&#10;Description automatically generated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b w:val="1"/>
        </w:rPr>
        <w:drawing>
          <wp:inline distB="0" distT="0" distL="0" distR="0">
            <wp:extent cx="3611587" cy="4323123"/>
            <wp:effectExtent b="0" l="0" r="0" t="0"/>
            <wp:docPr descr="Diagram&#10;&#10;Description automatically generated" id="7" name="image1.pn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pPr>
              <w:spacing w:after="0"/>
            </w:pPr>
            <w:r>
              <w:rPr>
                <w:sz w:val="16"/>
              </w:rPr>
              <w:t>Idea</w:t>
            </w:r>
          </w:p>
        </w:tc>
        <w:tc>
          <w:tcPr>
            <w:tcW w:type="dxa" w:w="2256"/>
          </w:tcPr>
          <w:p>
            <w:pPr>
              <w:spacing w:after="0"/>
            </w:pPr>
            <w:r>
              <w:rPr>
                <w:sz w:val="16"/>
              </w:rPr>
              <w:t>Value</w:t>
            </w:r>
          </w:p>
        </w:tc>
        <w:tc>
          <w:tcPr>
            <w:tcW w:type="dxa" w:w="2256"/>
          </w:tcPr>
          <w:p>
            <w:pPr>
              <w:spacing w:after="0"/>
            </w:pPr>
            <w:r>
              <w:rPr>
                <w:sz w:val="16"/>
              </w:rPr>
              <w:t>Effort</w:t>
            </w:r>
          </w:p>
        </w:tc>
        <w:tc>
          <w:tcPr>
            <w:tcW w:type="dxa" w:w="2256"/>
          </w:tcPr>
          <w:p>
            <w:pPr>
              <w:spacing w:after="0"/>
            </w:pPr>
            <w:r>
              <w:rPr>
                <w:sz w:val="16"/>
              </w:rPr>
              <w:t>Decision</w:t>
            </w:r>
          </w:p>
        </w:tc>
      </w:tr>
      <w:tr>
        <w:tc>
          <w:tcPr>
            <w:tcW w:type="dxa" w:w="2256"/>
          </w:tcPr>
          <w:p>
            <w:pPr>
              <w:spacing w:after="0"/>
            </w:pPr>
            <w:r>
              <w:rPr>
                <w:sz w:val="16"/>
              </w:rPr>
              <w:t>UI Policy requires group and assignee</w:t>
            </w:r>
          </w:p>
        </w:tc>
        <w:tc>
          <w:tcPr>
            <w:tcW w:type="dxa" w:w="2256"/>
          </w:tcPr>
          <w:p>
            <w:pPr>
              <w:spacing w:after="0"/>
            </w:pPr>
            <w:r>
              <w:rPr>
                <w:sz w:val="16"/>
              </w:rPr>
              <w:t>High</w:t>
            </w:r>
          </w:p>
        </w:tc>
        <w:tc>
          <w:tcPr>
            <w:tcW w:type="dxa" w:w="2256"/>
          </w:tcPr>
          <w:p>
            <w:pPr>
              <w:spacing w:after="0"/>
            </w:pPr>
            <w:r>
              <w:rPr>
                <w:sz w:val="16"/>
              </w:rPr>
              <w:t>Low</w:t>
            </w:r>
          </w:p>
        </w:tc>
        <w:tc>
          <w:tcPr>
            <w:tcW w:type="dxa" w:w="2256"/>
          </w:tcPr>
          <w:p>
            <w:pPr>
              <w:spacing w:after="0"/>
            </w:pPr>
            <w:r>
              <w:rPr>
                <w:sz w:val="16"/>
              </w:rPr>
              <w:t>Do first</w:t>
            </w:r>
          </w:p>
        </w:tc>
      </w:tr>
      <w:tr>
        <w:tc>
          <w:tcPr>
            <w:tcW w:type="dxa" w:w="2256"/>
          </w:tcPr>
          <w:p>
            <w:pPr>
              <w:spacing w:after="0"/>
            </w:pPr>
            <w:r>
              <w:rPr>
                <w:sz w:val="16"/>
              </w:rPr>
              <w:t>onChange sets Urgency High</w:t>
            </w:r>
          </w:p>
        </w:tc>
        <w:tc>
          <w:tcPr>
            <w:tcW w:type="dxa" w:w="2256"/>
          </w:tcPr>
          <w:p>
            <w:pPr>
              <w:spacing w:after="0"/>
            </w:pPr>
            <w:r>
              <w:rPr>
                <w:sz w:val="16"/>
              </w:rPr>
              <w:t>High</w:t>
            </w:r>
          </w:p>
        </w:tc>
        <w:tc>
          <w:tcPr>
            <w:tcW w:type="dxa" w:w="2256"/>
          </w:tcPr>
          <w:p>
            <w:pPr>
              <w:spacing w:after="0"/>
            </w:pPr>
            <w:r>
              <w:rPr>
                <w:sz w:val="16"/>
              </w:rPr>
              <w:t>Low</w:t>
            </w:r>
          </w:p>
        </w:tc>
        <w:tc>
          <w:tcPr>
            <w:tcW w:type="dxa" w:w="2256"/>
          </w:tcPr>
          <w:p>
            <w:pPr>
              <w:spacing w:after="0"/>
            </w:pPr>
            <w:r>
              <w:rPr>
                <w:sz w:val="16"/>
              </w:rPr>
              <w:t>Do first</w:t>
            </w:r>
          </w:p>
        </w:tc>
      </w:tr>
      <w:tr>
        <w:tc>
          <w:tcPr>
            <w:tcW w:type="dxa" w:w="2256"/>
          </w:tcPr>
          <w:p>
            <w:pPr>
              <w:spacing w:after="0"/>
            </w:pPr>
            <w:r>
              <w:rPr>
                <w:sz w:val="16"/>
              </w:rPr>
              <w:t>onSubmit explains missing routing</w:t>
            </w:r>
          </w:p>
        </w:tc>
        <w:tc>
          <w:tcPr>
            <w:tcW w:type="dxa" w:w="2256"/>
          </w:tcPr>
          <w:p>
            <w:pPr>
              <w:spacing w:after="0"/>
            </w:pPr>
            <w:r>
              <w:rPr>
                <w:sz w:val="16"/>
              </w:rPr>
              <w:t>High</w:t>
            </w:r>
          </w:p>
        </w:tc>
        <w:tc>
          <w:tcPr>
            <w:tcW w:type="dxa" w:w="2256"/>
          </w:tcPr>
          <w:p>
            <w:pPr>
              <w:spacing w:after="0"/>
            </w:pPr>
            <w:r>
              <w:rPr>
                <w:sz w:val="16"/>
              </w:rPr>
              <w:t>Low</w:t>
            </w:r>
          </w:p>
        </w:tc>
        <w:tc>
          <w:tcPr>
            <w:tcW w:type="dxa" w:w="2256"/>
          </w:tcPr>
          <w:p>
            <w:pPr>
              <w:spacing w:after="0"/>
            </w:pPr>
            <w:r>
              <w:rPr>
                <w:sz w:val="16"/>
              </w:rPr>
              <w:t>Do first</w:t>
            </w:r>
          </w:p>
        </w:tc>
      </w:tr>
      <w:tr>
        <w:tc>
          <w:tcPr>
            <w:tcW w:type="dxa" w:w="2256"/>
          </w:tcPr>
          <w:p>
            <w:pPr>
              <w:spacing w:after="0"/>
            </w:pPr>
            <w:r>
              <w:rPr>
                <w:sz w:val="16"/>
              </w:rPr>
              <w:t>onCellEdit blocks State list change</w:t>
            </w:r>
          </w:p>
        </w:tc>
        <w:tc>
          <w:tcPr>
            <w:tcW w:type="dxa" w:w="2256"/>
          </w:tcPr>
          <w:p>
            <w:pPr>
              <w:spacing w:after="0"/>
            </w:pPr>
            <w:r>
              <w:rPr>
                <w:sz w:val="16"/>
              </w:rPr>
              <w:t>Medium</w:t>
            </w:r>
          </w:p>
        </w:tc>
        <w:tc>
          <w:tcPr>
            <w:tcW w:type="dxa" w:w="2256"/>
          </w:tcPr>
          <w:p>
            <w:pPr>
              <w:spacing w:after="0"/>
            </w:pPr>
            <w:r>
              <w:rPr>
                <w:sz w:val="16"/>
              </w:rPr>
              <w:t>Low</w:t>
            </w:r>
          </w:p>
        </w:tc>
        <w:tc>
          <w:tcPr>
            <w:tcW w:type="dxa" w:w="2256"/>
          </w:tcPr>
          <w:p>
            <w:pPr>
              <w:spacing w:after="0"/>
            </w:pPr>
            <w:r>
              <w:rPr>
                <w:sz w:val="16"/>
              </w:rPr>
              <w:t>Demonstrate; not security</w:t>
            </w:r>
          </w:p>
        </w:tc>
      </w:tr>
      <w:tr>
        <w:tc>
          <w:tcPr>
            <w:tcW w:type="dxa" w:w="2256"/>
          </w:tcPr>
          <w:p>
            <w:pPr>
              <w:spacing w:after="0"/>
            </w:pPr>
            <w:r>
              <w:rPr>
                <w:sz w:val="16"/>
              </w:rPr>
              <w:t>Server-side validation</w:t>
            </w:r>
          </w:p>
        </w:tc>
        <w:tc>
          <w:tcPr>
            <w:tcW w:type="dxa" w:w="2256"/>
          </w:tcPr>
          <w:p>
            <w:pPr>
              <w:spacing w:after="0"/>
            </w:pPr>
            <w:r>
              <w:rPr>
                <w:sz w:val="16"/>
              </w:rPr>
              <w:t>High if policy</w:t>
            </w:r>
          </w:p>
        </w:tc>
        <w:tc>
          <w:tcPr>
            <w:tcW w:type="dxa" w:w="2256"/>
          </w:tcPr>
          <w:p>
            <w:pPr>
              <w:spacing w:after="0"/>
            </w:pPr>
            <w:r>
              <w:rPr>
                <w:sz w:val="16"/>
              </w:rPr>
              <w:t>Medium</w:t>
            </w:r>
          </w:p>
        </w:tc>
        <w:tc>
          <w:tcPr>
            <w:tcW w:type="dxa" w:w="2256"/>
          </w:tcPr>
          <w:p>
            <w:pPr>
              <w:spacing w:after="0"/>
            </w:pPr>
            <w:r>
              <w:rPr>
                <w:sz w:val="16"/>
              </w:rPr>
              <w:t>Future extension</w:t>
            </w:r>
          </w:p>
        </w:tc>
      </w:tr>
    </w:tbl>
    <w:p>
      <w:r>
        <w:rPr>
          <w:i/>
          <w:sz w:val="16"/>
        </w:rPr>
        <w:t>Project note: values use the standard Incident choices where Impact 1 and Urgency 1 represent High. Confirm field names and values in the target instance.</w:t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