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Problem statement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High-impact incidents may be incomplete or inconsistent at triage.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Idea / solution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Use one UI Policy and three Client Scripts for clear form and list behavior.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Novelty / uniqueness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Combines conditional field behavior, auto urgency, save validation, and list workflow in a small native-platform demo.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Customer satisfaction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Clear requirements and immediate feedback reduce avoidable rework; validate with agents.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Business model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Internal service quality improvement; no direct revenue model.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658" w:type="dxa"/>
          </w:tcPr>
          <w:p>
            <w:pPr>
              <w:spacing w:after="0"/>
            </w:pPr>
            <w:r>
              <w:rPr>
                <w:sz w:val="16"/>
              </w:rPr>
              <w:t>Scalability</w:t>
            </w:r>
          </w:p>
        </w:tc>
        <w:tc>
          <w:tcPr>
            <w:tcW w:w="4508" w:type="dxa"/>
          </w:tcPr>
          <w:p>
            <w:pPr>
              <w:spacing w:after="0"/>
            </w:pPr>
            <w:r>
              <w:rPr>
                <w:sz w:val="16"/>
              </w:rPr>
              <w:t>Reuse native Incident controls; add server-side rules if the policy must cover non-form paths.</w:t>
            </w:r>
          </w:p>
        </w:tc>
      </w:tr>
    </w:tbl>
    <w:p w14:paraId="5BC2B474" w14:textId="77777777" w:rsidR="00604E29" w:rsidRDefault="00604E29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2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Proposed ServiceNow solution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