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8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Incident client control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Component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Responsibility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Incident form/list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Collect impact and routing values.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UI Policy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Require group and assignee; lock urgency at high impact.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Client Scripts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Set urgency, validate submit, block list State edit.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Incident table</w:t>
            </w:r>
          </w:p>
        </w:tc>
        <w:tc>
          <w:tcPr>
            <w:tcW w:type="dxa" w:w="4513"/>
          </w:tcPr>
          <w:p>
            <w:pPr>
              <w:spacing w:after="0"/>
            </w:pPr>
            <w:r>
              <w:rPr>
                <w:sz w:val="17"/>
              </w:rPr>
              <w:t>Platform persistence and existing server controls.</w:t>
            </w:r>
          </w:p>
        </w:tc>
      </w:tr>
    </w:tbl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