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>SWTID-2026-8886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>Implement Client Script and UI Policy for Incident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Solution summary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Deterministic ServiceNow UI behavior; no AI model.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Not applicable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Accuracy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Model accuracy is not applicable; UAT cases define expected behavior.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Not run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Fine tuning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No model fine tuning in scope.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Not applicable</w:t>
            </w:r>
          </w:p>
        </w:tc>
      </w:tr>
    </w:tbl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>
      <w:pPr>
        <w:jc w:val="center"/>
      </w:pPr>
      <w:r>
        <w:drawing>
          <wp:inline>
            <wp:extent cx="5303520" cy="2828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_df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6579"/>
          <w:sz w:val="16"/>
        </w:rPr>
        <w:t>Incident control flow - no AI model used</w:t>
      </w:r>
    </w:p>
    <w:p>
      <w:r>
        <w:rPr>
          <w:i/>
          <w:sz w:val="16"/>
        </w:rPr>
        <w:t>Project note: values use the standard Incident choices where Impact 1 and Urgency 1 represent High. Confirm field names and values in the target instance.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