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SWTID-2026-8886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Implement Client Script and UI Policy for Incident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Configuration summary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ServiceNow Incident UI Policy plus three Client Scripts. CRM/model metrics do not apply to this platform workflow.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Conceptual form diagram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Accuracy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 model training or accuracy metric applies. Functional outcomes are pending UAT.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Not applicable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Confidence score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 object recognition or confidence score applies. Use the eight UAT cases.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Not applicable</w:t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>
      <w:pPr>
        <w:jc w:val="center"/>
      </w:pPr>
      <w:r>
        <w:drawing>
          <wp:inline>
            <wp:extent cx="5303520" cy="31903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form_conce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579"/>
          <w:sz w:val="16"/>
        </w:rPr>
        <w:t>Conceptual Incident form - not a live screenshot</w:t>
      </w:r>
    </w:p>
    <w:p>
      <w:r>
        <w:rPr>
          <w:i/>
          <w:sz w:val="16"/>
        </w:rPr>
        <w:t>Project note: values use the standard Incident choices where Impact 1 and Urgency 1 represent High. Confirm field names and values in the target instance.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