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F4E79"/>
          <w:sz w:val="52"/>
        </w:rPr>
        <w:t>EvalTutor — AI Tutoring Evaluation Dashboard</w:t>
      </w:r>
    </w:p>
    <w:p>
      <w:pPr>
        <w:spacing w:after="720"/>
        <w:jc w:val="center"/>
      </w:pPr>
      <w:r>
        <w:rPr>
          <w:i/>
          <w:color w:val="595959"/>
          <w:sz w:val="28"/>
        </w:rPr>
        <w:t>A Multilingual Tutoring Assistant Evaluation System</w:t>
      </w:r>
    </w:p>
    <w:p>
      <w:pPr>
        <w:spacing w:after="480"/>
        <w:jc w:val="center"/>
      </w:pPr>
      <w:r>
        <w:rPr>
          <w:color w:val="D3D3D3"/>
        </w:rPr>
        <w:t>――――――――――――――――――――――――――――――――――――――――――――――――――</w:t>
      </w:r>
    </w:p>
    <w:p>
      <w:pPr>
        <w:spacing w:after="960"/>
        <w:jc w:val="center"/>
      </w:pPr>
      <w:r>
        <w:rPr>
          <w:color w:val="7F7F7F"/>
          <w:sz w:val="20"/>
        </w:rPr>
        <w:t>Project Domain: EdTech · AI Safety · Learning Analytics</w:t>
        <w:br/>
        <w:t>Document Version: 1.0</w:t>
        <w:br/>
        <w:t>Date: July 2026</w:t>
        <w:br/>
      </w:r>
    </w:p>
    <w:p>
      <w:r>
        <w:br w:type="page"/>
      </w:r>
    </w:p>
    <w:p>
      <w:pPr>
        <w:pStyle w:val="Heading1"/>
        <w:keepNext/>
        <w:spacing w:before="240" w:after="120"/>
      </w:pPr>
      <w:r>
        <w:rPr>
          <w:rFonts w:ascii="Calibri" w:hAnsi="Calibri"/>
          <w:color w:val="1F4E79"/>
          <w:sz w:val="36"/>
        </w:rPr>
        <w:t>1. Executive Summary</w:t>
      </w:r>
    </w:p>
    <w:p>
      <w:pPr>
        <w:spacing w:after="200" w:line="276" w:lineRule="auto"/>
      </w:pPr>
      <w:r>
        <w:t>AI-powered tutoring assistants are transforming modern education by providing personalized, on-demand assistance to students across multiple subjects and languages. However, schools, universities, and EdTech platforms lack a standardized framework to monitor whether these AI tutors are safe, correct, and pedagogically effective.</w:t>
      </w:r>
    </w:p>
    <w:p>
      <w:pPr>
        <w:spacing w:after="200" w:line="276" w:lineRule="auto"/>
      </w:pPr>
      <w:r>
        <w:t>EvalTutor is an advanced, enterprise-grade software system designed to fill this critical industry gap. It provides real-time scoring, analytical tracking, and automated risk alert mechanisms across five key assessment vectors: Answer Quality, Hallucination Risk, Student Dependency, Learning Outcomes, and Multilingual Parity. By combining standard NLP metrics, semantic embedding models, symbolic math validation, and behavioral interaction tracking, EvalTutor equips educators and administrators with a centralized dashboard to audit and ensure high standards of AI-assisted instruction.</w:t>
      </w:r>
    </w:p>
    <w:p>
      <w:pPr>
        <w:pStyle w:val="Heading1"/>
        <w:keepNext/>
        <w:spacing w:before="240" w:after="120"/>
      </w:pPr>
      <w:r>
        <w:rPr>
          <w:rFonts w:ascii="Calibri" w:hAnsi="Calibri"/>
          <w:color w:val="1F4E79"/>
          <w:sz w:val="36"/>
        </w:rPr>
        <w:t>2. Problem Background &amp; Industry Relevance</w:t>
      </w:r>
    </w:p>
    <w:p>
      <w:pPr>
        <w:spacing w:after="200"/>
      </w:pPr>
      <w:r>
        <w:t>Standard deployment pipelines for Large Language Models (LLMs) in educational spaces are subject to significant risks. Educational material requires strict correctness and specific instructional patterns. Without rigorous validation tools, systems face critical challenges:</w:t>
      </w:r>
    </w:p>
    <w:p>
      <w:pPr>
        <w:pStyle w:val="ListBullet"/>
        <w:spacing w:after="80"/>
      </w:pPr>
      <w:r>
        <w:rPr>
          <w:b/>
        </w:rPr>
        <w:t xml:space="preserve">Factual Accuracy &amp; Hallucinations: </w:t>
      </w:r>
      <w:r>
        <w:t>LLMs are prone to fabricating sources, explanations, and math derivations confidently. In educational settings, this leads to immediate learning regression.</w:t>
      </w:r>
    </w:p>
    <w:p>
      <w:pPr>
        <w:pStyle w:val="ListBullet"/>
        <w:spacing w:after="80"/>
      </w:pPr>
      <w:r>
        <w:rPr>
          <w:b/>
        </w:rPr>
        <w:t xml:space="preserve">Dependency and Scaffolding Bypass: </w:t>
      </w:r>
      <w:r>
        <w:t>AI tutors that supply answers directly without scaffolding or guiding hints encourage academic laziness. Students over-rely on the AI, failing to acquire problem-solving skills.</w:t>
      </w:r>
    </w:p>
    <w:p>
      <w:pPr>
        <w:pStyle w:val="ListBullet"/>
        <w:spacing w:after="80"/>
      </w:pPr>
      <w:r>
        <w:rPr>
          <w:b/>
        </w:rPr>
        <w:t xml:space="preserve">Inequitable Multilingual Quality: </w:t>
      </w:r>
      <w:r>
        <w:t>Many AI models perform well in high-resource languages like English but show high hallucination rates or low-quality logic in low-resource regional languages (e.g., Hindi, Arabic, Spanish).</w:t>
      </w:r>
    </w:p>
    <w:p>
      <w:pPr>
        <w:pStyle w:val="ListBullet"/>
        <w:spacing w:after="80"/>
      </w:pPr>
      <w:r>
        <w:rPr>
          <w:b/>
        </w:rPr>
        <w:t xml:space="preserve">Compliance Gaps: </w:t>
      </w:r>
      <w:r>
        <w:t>Under emerging laws like the EU AI Act (2024), educational AI is categorized as high-risk, necessitating continuous evaluation, monitoring, and audit trails.</w:t>
      </w:r>
    </w:p>
    <w:p>
      <w:pPr>
        <w:pStyle w:val="Heading1"/>
        <w:keepNext/>
        <w:spacing w:before="240" w:after="120"/>
      </w:pPr>
      <w:r>
        <w:rPr>
          <w:rFonts w:ascii="Calibri" w:hAnsi="Calibri"/>
          <w:color w:val="1F4E79"/>
          <w:sz w:val="36"/>
        </w:rPr>
        <w:t>3. System Architecture</w:t>
      </w:r>
    </w:p>
    <w:p>
      <w:r>
        <w:t>EvalTutor employs a split-architecture pattern: a Python FastAPI backend serves as the core analytical engine, executing modular evaluation pipelines and storing records in an SQLite database. A dark-themed HTML/CSS/JS frontend dashboard consumes these APIs to display timelines, metrics, and alerts for instructors.</w:t>
      </w:r>
    </w:p>
    <w:p>
      <w:pPr>
        <w:pStyle w:val="Heading2"/>
        <w:keepNext/>
        <w:spacing w:before="240" w:after="120"/>
      </w:pPr>
      <w:r>
        <w:rPr>
          <w:rFonts w:ascii="Calibri" w:hAnsi="Calibri"/>
          <w:color w:val="2E74B5"/>
          <w:sz w:val="28"/>
        </w:rPr>
        <w:t>Evaluation Layers &amp; Core Architecture</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F4E79"/>
            <w:tcMar>
              <w:top w:w="140" w:type="dxa"/>
              <w:bottom w:w="140" w:type="dxa"/>
              <w:left w:w="150" w:type="dxa"/>
              <w:right w:w="150" w:type="dxa"/>
            </w:tcMar>
          </w:tcPr>
          <w:p>
            <w:r>
              <w:rPr>
                <w:b/>
                <w:color w:val="FFFFFF"/>
              </w:rPr>
              <w:t>Layer</w:t>
            </w:r>
          </w:p>
        </w:tc>
        <w:tc>
          <w:tcPr>
            <w:tcW w:type="dxa" w:w="3120"/>
            <w:shd w:fill="1F4E79"/>
            <w:tcMar>
              <w:top w:w="140" w:type="dxa"/>
              <w:bottom w:w="140" w:type="dxa"/>
              <w:left w:w="150" w:type="dxa"/>
              <w:right w:w="150" w:type="dxa"/>
            </w:tcMar>
          </w:tcPr>
          <w:p>
            <w:r>
              <w:rPr>
                <w:b/>
                <w:color w:val="FFFFFF"/>
              </w:rPr>
              <w:t>Responsibilities</w:t>
            </w:r>
          </w:p>
        </w:tc>
        <w:tc>
          <w:tcPr>
            <w:tcW w:type="dxa" w:w="3120"/>
            <w:shd w:fill="1F4E79"/>
            <w:tcMar>
              <w:top w:w="140" w:type="dxa"/>
              <w:bottom w:w="140" w:type="dxa"/>
              <w:left w:w="150" w:type="dxa"/>
              <w:right w:w="150" w:type="dxa"/>
            </w:tcMar>
          </w:tcPr>
          <w:p>
            <w:r>
              <w:rPr>
                <w:b/>
                <w:color w:val="FFFFFF"/>
              </w:rPr>
              <w:t>Key Components</w:t>
            </w:r>
          </w:p>
        </w:tc>
      </w:tr>
      <w:tr>
        <w:tc>
          <w:tcPr>
            <w:tcW w:type="dxa" w:w="3120"/>
            <w:tcMar>
              <w:top w:w="100" w:type="dxa"/>
              <w:bottom w:w="100" w:type="dxa"/>
              <w:left w:w="150" w:type="dxa"/>
              <w:right w:w="150" w:type="dxa"/>
            </w:tcMar>
            <w:shd w:fill="F2F2F2"/>
          </w:tcPr>
          <w:p>
            <w:r>
              <w:t>Data Collection</w:t>
            </w:r>
          </w:p>
        </w:tc>
        <w:tc>
          <w:tcPr>
            <w:tcW w:type="dxa" w:w="3120"/>
            <w:tcMar>
              <w:top w:w="100" w:type="dxa"/>
              <w:bottom w:w="100" w:type="dxa"/>
              <w:left w:w="150" w:type="dxa"/>
              <w:right w:w="150" w:type="dxa"/>
            </w:tcMar>
            <w:shd w:fill="F2F2F2"/>
          </w:tcPr>
          <w:p>
            <w:r>
              <w:t>Collects student prompts, tutor responses, and matches them with available curriculum benchmarks.</w:t>
            </w:r>
          </w:p>
        </w:tc>
        <w:tc>
          <w:tcPr>
            <w:tcW w:type="dxa" w:w="3120"/>
            <w:tcMar>
              <w:top w:w="100" w:type="dxa"/>
              <w:bottom w:w="100" w:type="dxa"/>
              <w:left w:w="150" w:type="dxa"/>
              <w:right w:w="150" w:type="dxa"/>
            </w:tcMar>
            <w:shd w:fill="F2F2F2"/>
          </w:tcPr>
          <w:p>
            <w:r>
              <w:t>Student Logs, Knowledge Base, Rest APIs</w:t>
            </w:r>
          </w:p>
        </w:tc>
      </w:tr>
      <w:tr>
        <w:tc>
          <w:tcPr>
            <w:tcW w:type="dxa" w:w="3120"/>
            <w:tcMar>
              <w:top w:w="100" w:type="dxa"/>
              <w:bottom w:w="100" w:type="dxa"/>
              <w:left w:w="150" w:type="dxa"/>
              <w:right w:w="150" w:type="dxa"/>
            </w:tcMar>
            <w:shd w:fill="F2F2F2"/>
          </w:tcPr>
          <w:p>
            <w:r>
              <w:t>Evaluation Engine</w:t>
            </w:r>
          </w:p>
        </w:tc>
        <w:tc>
          <w:tcPr>
            <w:tcW w:type="dxa" w:w="3120"/>
            <w:tcMar>
              <w:top w:w="100" w:type="dxa"/>
              <w:bottom w:w="100" w:type="dxa"/>
              <w:left w:w="150" w:type="dxa"/>
              <w:right w:w="150" w:type="dxa"/>
            </w:tcMar>
            <w:shd w:fill="F2F2F2"/>
          </w:tcPr>
          <w:p>
            <w:r>
              <w:t>Scores interactions through specialized analytic modules.</w:t>
            </w:r>
          </w:p>
        </w:tc>
        <w:tc>
          <w:tcPr>
            <w:tcW w:type="dxa" w:w="3120"/>
            <w:tcMar>
              <w:top w:w="100" w:type="dxa"/>
              <w:bottom w:w="100" w:type="dxa"/>
              <w:left w:w="150" w:type="dxa"/>
              <w:right w:w="150" w:type="dxa"/>
            </w:tcMar>
            <w:shd w:fill="F2F2F2"/>
          </w:tcPr>
          <w:p>
            <w:r>
              <w:t>Answer Quality, Hallucination, Dependency, Learning, Multilingual Parity Modules</w:t>
            </w:r>
          </w:p>
        </w:tc>
      </w:tr>
      <w:tr>
        <w:tc>
          <w:tcPr>
            <w:tcW w:type="dxa" w:w="3120"/>
            <w:tcMar>
              <w:top w:w="100" w:type="dxa"/>
              <w:bottom w:w="100" w:type="dxa"/>
              <w:left w:w="150" w:type="dxa"/>
              <w:right w:w="150" w:type="dxa"/>
            </w:tcMar>
            <w:shd w:fill="F2F2F2"/>
          </w:tcPr>
          <w:p>
            <w:r>
              <w:t>Dashboard &amp; Alerting</w:t>
            </w:r>
          </w:p>
        </w:tc>
        <w:tc>
          <w:tcPr>
            <w:tcW w:type="dxa" w:w="3120"/>
            <w:tcMar>
              <w:top w:w="100" w:type="dxa"/>
              <w:bottom w:w="100" w:type="dxa"/>
              <w:left w:w="150" w:type="dxa"/>
              <w:right w:w="150" w:type="dxa"/>
            </w:tcMar>
            <w:shd w:fill="F2F2F2"/>
          </w:tcPr>
          <w:p>
            <w:r>
              <w:t>Aggregates indices, plots progress timelines, and raises critical notifications for teachers.</w:t>
            </w:r>
          </w:p>
        </w:tc>
        <w:tc>
          <w:tcPr>
            <w:tcW w:type="dxa" w:w="3120"/>
            <w:tcMar>
              <w:top w:w="100" w:type="dxa"/>
              <w:bottom w:w="100" w:type="dxa"/>
              <w:left w:w="150" w:type="dxa"/>
              <w:right w:w="150" w:type="dxa"/>
            </w:tcMar>
            <w:shd w:fill="F2F2F2"/>
          </w:tcPr>
          <w:p>
            <w:r>
              <w:t>Responsive Dark UI, WebSockets/Rest API, Alert Engine</w:t>
            </w:r>
          </w:p>
        </w:tc>
      </w:tr>
    </w:tbl>
    <w:p>
      <w:pPr>
        <w:spacing w:after="240"/>
      </w:pPr>
    </w:p>
    <w:p>
      <w:pPr>
        <w:pStyle w:val="Heading1"/>
        <w:keepNext/>
        <w:spacing w:before="240" w:after="120"/>
      </w:pPr>
      <w:r>
        <w:rPr>
          <w:rFonts w:ascii="Calibri" w:hAnsi="Calibri"/>
          <w:color w:val="1F4E79"/>
          <w:sz w:val="36"/>
        </w:rPr>
        <w:t>4. Core Scoring Modules &amp; Formulas</w:t>
      </w:r>
    </w:p>
    <w:p>
      <w:pPr>
        <w:pStyle w:val="Heading2"/>
        <w:keepNext/>
        <w:spacing w:before="240" w:after="120"/>
      </w:pPr>
      <w:r>
        <w:rPr>
          <w:rFonts w:ascii="Calibri" w:hAnsi="Calibri"/>
          <w:color w:val="2E74B5"/>
          <w:sz w:val="28"/>
        </w:rPr>
        <w:t>Module A: Answer Quality Scorer</w:t>
      </w:r>
    </w:p>
    <w:p>
      <w:r>
        <w:t>Objective: Score the pedagogical correctness, readability, and completeness of responses.</w:t>
        <w:br/>
        <w:t>• Factual Accuracy: Uses semantic similarity against textbook reference corpora.</w:t>
        <w:br/>
        <w:t>• Completeness: Compares coverage against rubrics.</w:t>
        <w:br/>
        <w:t>• Pedagogical Value: Inspects explanation structure (presence of examples, analogies, guidance).</w:t>
        <w:br/>
        <w:t>• Readability: Computes adjusted Flesch-Kincaid index relative to student grade levels.</w:t>
      </w:r>
    </w:p>
    <w:p>
      <w:pPr>
        <w:pStyle w:val="Heading2"/>
        <w:keepNext/>
        <w:spacing w:before="240" w:after="120"/>
      </w:pPr>
      <w:r>
        <w:rPr>
          <w:rFonts w:ascii="Calibri" w:hAnsi="Calibri"/>
          <w:color w:val="2E74B5"/>
          <w:sz w:val="28"/>
        </w:rPr>
        <w:t>Module B: Hallucination Risk Detector</w:t>
      </w:r>
    </w:p>
    <w:p>
      <w:pPr>
        <w:spacing w:after="120"/>
      </w:pPr>
      <w:r>
        <w:t>Objective: Continuous verification of factual consistency and mathematical correctness.</w:t>
        <w:br/>
        <w:t>• Factual Fabrication: Cross-references claims against verified knowledge databases.</w:t>
        <w:br/>
        <w:t>• Citation Check: Checks if referenced bibliography exists via citation matching.</w:t>
        <w:br/>
        <w:t>• Formula Verification: Employs symbolic engines (SymPy) to parse mathematical transformations.</w:t>
        <w:br/>
        <w:t>• Hallucination Risk Score Formula:</w:t>
      </w:r>
    </w:p>
    <w:p>
      <w:pPr>
        <w:spacing w:after="200"/>
        <w:ind w:left="720"/>
      </w:pPr>
      <w:r>
        <w:rPr>
          <w:b/>
          <w:i/>
        </w:rPr>
        <w:t>H_risk = α · F_fabrication + β · C_citation + γ · M_math + δ · D_drift</w:t>
      </w:r>
      <w:r>
        <w:t xml:space="preserve">   (where α + β + γ + δ = 1)</w:t>
      </w:r>
    </w:p>
    <w:p>
      <w:pPr>
        <w:pStyle w:val="Heading2"/>
        <w:keepNext/>
        <w:spacing w:before="240" w:after="120"/>
      </w:pPr>
      <w:r>
        <w:rPr>
          <w:rFonts w:ascii="Calibri" w:hAnsi="Calibri"/>
          <w:color w:val="2E74B5"/>
          <w:sz w:val="28"/>
        </w:rPr>
        <w:t>Module C: Student Dependency Analyzer</w:t>
      </w:r>
    </w:p>
    <w:p>
      <w:r>
        <w:t>Objective: Evaluate if students are developing autonomous critical thinking or taking short-cuts.</w:t>
        <w:br/>
        <w:t>• Query Frequency (QF): Interactions over defined windows.</w:t>
        <w:br/>
        <w:t>• Copy-Paste Ratio (CPR): Verbatim overlaps between tutor output and assignment submission.</w:t>
        <w:br/>
        <w:t>• Self-Attempt Time (SAT): Spans between accessing a task and requesting AI help.</w:t>
        <w:br/>
        <w:t>• Scaffolding Bypass (SB): Propensity to directly ask for solutions.</w:t>
        <w:br/>
        <w:t>• Dependency Index (DI) Formula:</w:t>
      </w:r>
    </w:p>
    <w:p>
      <w:pPr>
        <w:spacing w:after="200"/>
        <w:ind w:left="720"/>
      </w:pPr>
      <w:r>
        <w:rPr>
          <w:b/>
          <w:i/>
        </w:rPr>
        <w:t>DI = (w1 · QF + w2 · CPR + w3 · (1 - SAT) + w4 · SB) / ∑w</w:t>
      </w:r>
    </w:p>
    <w:p>
      <w:r>
        <w:t>• Green (Healthy &lt; 0.30): Student uses AI as a supportive learning companion.</w:t>
        <w:br/>
        <w:t>• Yellow (Caution 0.30 - 0.60): Early signs of reliance.</w:t>
        <w:br/>
        <w:t>• Red (Critical &gt;= 0.60): Intervention recommended; student bypassed thinking processes.</w:t>
      </w:r>
    </w:p>
    <w:p>
      <w:pPr>
        <w:pStyle w:val="Heading2"/>
        <w:keepNext/>
        <w:spacing w:before="240" w:after="120"/>
      </w:pPr>
      <w:r>
        <w:rPr>
          <w:rFonts w:ascii="Calibri" w:hAnsi="Calibri"/>
          <w:color w:val="2E74B5"/>
          <w:sz w:val="28"/>
        </w:rPr>
        <w:t>Module D: Learning Outcome Tracker</w:t>
      </w:r>
    </w:p>
    <w:p>
      <w:r>
        <w:t>Objective: Track concept retention and progress across cognitive dimensions.</w:t>
        <w:br/>
        <w:t>• Assessment Gains: Pre-tutoring versus post-tutoring assessments.</w:t>
        <w:br/>
        <w:t>• Bloom's progression: Checks student's question complexity over time (Recall -&gt; Application -&gt; Synthesis).</w:t>
        <w:br/>
        <w:t>• Spaced Retention: Scoring retention checks scheduled after defined gaps.</w:t>
      </w:r>
    </w:p>
    <w:p>
      <w:pPr>
        <w:pStyle w:val="Heading2"/>
        <w:keepNext/>
        <w:spacing w:before="240" w:after="120"/>
      </w:pPr>
      <w:r>
        <w:rPr>
          <w:rFonts w:ascii="Calibri" w:hAnsi="Calibri"/>
          <w:color w:val="2E74B5"/>
          <w:sz w:val="28"/>
        </w:rPr>
        <w:t>Module E: Multilingual Parity Analyzer</w:t>
      </w:r>
    </w:p>
    <w:p>
      <w:r>
        <w:t>Objective: Measures equitable quality across target language domains.</w:t>
        <w:br/>
        <w:t>• Language Parity Index:</w:t>
      </w:r>
    </w:p>
    <w:p>
      <w:pPr>
        <w:spacing w:after="200"/>
        <w:ind w:left="720"/>
      </w:pPr>
      <w:r>
        <w:rPr>
          <w:b/>
          <w:i/>
        </w:rPr>
        <w:t>P_lang = 1 - (|Q_lang - Q_English| / Q_English)</w:t>
      </w:r>
    </w:p>
    <w:p>
      <w:pPr>
        <w:pStyle w:val="Heading1"/>
        <w:keepNext/>
        <w:spacing w:before="240" w:after="120"/>
      </w:pPr>
      <w:r>
        <w:rPr>
          <w:rFonts w:ascii="Calibri" w:hAnsi="Calibri"/>
          <w:color w:val="1F4E79"/>
          <w:sz w:val="36"/>
        </w:rPr>
        <w:t>5. Codebase Implementation Specifics</w:t>
      </w:r>
    </w:p>
    <w:p>
      <w:r>
        <w:t>The project has been implemented using modern, standard programming patterns. Below are key code files that drive backend metrics and the frontend dashboard visualization.</w:t>
      </w:r>
    </w:p>
    <w:tbl>
      <w:tblPr>
        <w:tblStyle w:val="LightShading-Accent1"/>
        <w:tblW w:type="auto" w:w="0"/>
        <w:tblLook w:firstColumn="1" w:firstRow="1" w:lastColumn="0" w:lastRow="0" w:noHBand="0" w:noVBand="1" w:val="04A0"/>
      </w:tblPr>
      <w:tblGrid>
        <w:gridCol w:w="3120"/>
        <w:gridCol w:w="3120"/>
        <w:gridCol w:w="3120"/>
      </w:tblGrid>
      <w:tr>
        <w:tc>
          <w:tcPr>
            <w:tcW w:type="dxa" w:w="3120"/>
            <w:shd w:fill="2E74B5"/>
            <w:tcMar>
              <w:top w:w="140" w:type="dxa"/>
              <w:bottom w:w="140" w:type="dxa"/>
              <w:left w:w="150" w:type="dxa"/>
              <w:right w:w="150" w:type="dxa"/>
            </w:tcMar>
          </w:tcPr>
          <w:p>
            <w:r>
              <w:rPr>
                <w:b/>
                <w:color w:val="FFFFFF"/>
              </w:rPr>
              <w:t>Component File</w:t>
            </w:r>
          </w:p>
        </w:tc>
        <w:tc>
          <w:tcPr>
            <w:tcW w:type="dxa" w:w="3120"/>
            <w:shd w:fill="2E74B5"/>
            <w:tcMar>
              <w:top w:w="140" w:type="dxa"/>
              <w:bottom w:w="140" w:type="dxa"/>
              <w:left w:w="150" w:type="dxa"/>
              <w:right w:w="150" w:type="dxa"/>
            </w:tcMar>
          </w:tcPr>
          <w:p>
            <w:r>
              <w:rPr>
                <w:b/>
                <w:color w:val="FFFFFF"/>
              </w:rPr>
              <w:t>Primary Role</w:t>
            </w:r>
          </w:p>
        </w:tc>
        <w:tc>
          <w:tcPr>
            <w:tcW w:type="dxa" w:w="3120"/>
            <w:shd w:fill="2E74B5"/>
            <w:tcMar>
              <w:top w:w="140" w:type="dxa"/>
              <w:bottom w:w="140" w:type="dxa"/>
              <w:left w:w="150" w:type="dxa"/>
              <w:right w:w="150" w:type="dxa"/>
            </w:tcMar>
          </w:tcPr>
          <w:p>
            <w:r>
              <w:rPr>
                <w:b/>
                <w:color w:val="FFFFFF"/>
              </w:rPr>
              <w:t>Implementation Description</w:t>
            </w:r>
          </w:p>
        </w:tc>
      </w:tr>
      <w:tr>
        <w:tc>
          <w:tcPr>
            <w:tcW w:type="dxa" w:w="3120"/>
            <w:tcMar>
              <w:top w:w="100" w:type="dxa"/>
              <w:bottom w:w="100" w:type="dxa"/>
              <w:left w:w="150" w:type="dxa"/>
              <w:right w:w="150" w:type="dxa"/>
            </w:tcMar>
            <w:shd w:fill="F2F2F2"/>
          </w:tcPr>
          <w:p>
            <w:r>
              <w:t>backend/main.py</w:t>
            </w:r>
          </w:p>
        </w:tc>
        <w:tc>
          <w:tcPr>
            <w:tcW w:type="dxa" w:w="3120"/>
            <w:tcMar>
              <w:top w:w="100" w:type="dxa"/>
              <w:bottom w:w="100" w:type="dxa"/>
              <w:left w:w="150" w:type="dxa"/>
              <w:right w:w="150" w:type="dxa"/>
            </w:tcMar>
            <w:shd w:fill="F2F2F2"/>
          </w:tcPr>
          <w:p>
            <w:r>
              <w:t>FastAPI Core Application</w:t>
            </w:r>
          </w:p>
        </w:tc>
        <w:tc>
          <w:tcPr>
            <w:tcW w:type="dxa" w:w="3120"/>
            <w:tcMar>
              <w:top w:w="100" w:type="dxa"/>
              <w:bottom w:w="100" w:type="dxa"/>
              <w:left w:w="150" w:type="dxa"/>
              <w:right w:w="150" w:type="dxa"/>
            </w:tcMar>
            <w:shd w:fill="F2F2F2"/>
          </w:tcPr>
          <w:p>
            <w:r>
              <w:t>Configures routes, handles CORS setup, starts server instances.</w:t>
            </w:r>
          </w:p>
        </w:tc>
      </w:tr>
      <w:tr>
        <w:tc>
          <w:tcPr>
            <w:tcW w:type="dxa" w:w="3120"/>
            <w:tcMar>
              <w:top w:w="100" w:type="dxa"/>
              <w:bottom w:w="100" w:type="dxa"/>
              <w:left w:w="150" w:type="dxa"/>
              <w:right w:w="150" w:type="dxa"/>
            </w:tcMar>
            <w:shd w:fill="F2F2F2"/>
          </w:tcPr>
          <w:p>
            <w:r>
              <w:t>backend/modules/answer_quality.py</w:t>
            </w:r>
          </w:p>
        </w:tc>
        <w:tc>
          <w:tcPr>
            <w:tcW w:type="dxa" w:w="3120"/>
            <w:tcMar>
              <w:top w:w="100" w:type="dxa"/>
              <w:bottom w:w="100" w:type="dxa"/>
              <w:left w:w="150" w:type="dxa"/>
              <w:right w:w="150" w:type="dxa"/>
            </w:tcMar>
            <w:shd w:fill="F2F2F2"/>
          </w:tcPr>
          <w:p>
            <w:r>
              <w:t>Quality Evaluator Engine</w:t>
            </w:r>
          </w:p>
        </w:tc>
        <w:tc>
          <w:tcPr>
            <w:tcW w:type="dxa" w:w="3120"/>
            <w:tcMar>
              <w:top w:w="100" w:type="dxa"/>
              <w:bottom w:w="100" w:type="dxa"/>
              <w:left w:w="150" w:type="dxa"/>
              <w:right w:w="150" w:type="dxa"/>
            </w:tcMar>
            <w:shd w:fill="F2F2F2"/>
          </w:tcPr>
          <w:p>
            <w:r>
              <w:t>Performs semantic, clarity, and readability scores on replies.</w:t>
            </w:r>
          </w:p>
        </w:tc>
      </w:tr>
      <w:tr>
        <w:tc>
          <w:tcPr>
            <w:tcW w:type="dxa" w:w="3120"/>
            <w:tcMar>
              <w:top w:w="100" w:type="dxa"/>
              <w:bottom w:w="100" w:type="dxa"/>
              <w:left w:w="150" w:type="dxa"/>
              <w:right w:w="150" w:type="dxa"/>
            </w:tcMar>
            <w:shd w:fill="F2F2F2"/>
          </w:tcPr>
          <w:p>
            <w:r>
              <w:t>backend/modules/hallucination_detector.py</w:t>
            </w:r>
          </w:p>
        </w:tc>
        <w:tc>
          <w:tcPr>
            <w:tcW w:type="dxa" w:w="3120"/>
            <w:tcMar>
              <w:top w:w="100" w:type="dxa"/>
              <w:bottom w:w="100" w:type="dxa"/>
              <w:left w:w="150" w:type="dxa"/>
              <w:right w:w="150" w:type="dxa"/>
            </w:tcMar>
            <w:shd w:fill="F2F2F2"/>
          </w:tcPr>
          <w:p>
            <w:r>
              <w:t>Anti-Hallucination Pipeline</w:t>
            </w:r>
          </w:p>
        </w:tc>
        <w:tc>
          <w:tcPr>
            <w:tcW w:type="dxa" w:w="3120"/>
            <w:tcMar>
              <w:top w:w="100" w:type="dxa"/>
              <w:bottom w:w="100" w:type="dxa"/>
              <w:left w:w="150" w:type="dxa"/>
              <w:right w:w="150" w:type="dxa"/>
            </w:tcMar>
            <w:shd w:fill="F2F2F2"/>
          </w:tcPr>
          <w:p>
            <w:r>
              <w:t>Runs verification checks, math validation, and drift tests.</w:t>
            </w:r>
          </w:p>
        </w:tc>
      </w:tr>
      <w:tr>
        <w:tc>
          <w:tcPr>
            <w:tcW w:type="dxa" w:w="3120"/>
            <w:tcMar>
              <w:top w:w="100" w:type="dxa"/>
              <w:bottom w:w="100" w:type="dxa"/>
              <w:left w:w="150" w:type="dxa"/>
              <w:right w:w="150" w:type="dxa"/>
            </w:tcMar>
            <w:shd w:fill="F2F2F2"/>
          </w:tcPr>
          <w:p>
            <w:r>
              <w:t>backend/modules/dependency_analyzer.py</w:t>
            </w:r>
          </w:p>
        </w:tc>
        <w:tc>
          <w:tcPr>
            <w:tcW w:type="dxa" w:w="3120"/>
            <w:tcMar>
              <w:top w:w="100" w:type="dxa"/>
              <w:bottom w:w="100" w:type="dxa"/>
              <w:left w:w="150" w:type="dxa"/>
              <w:right w:w="150" w:type="dxa"/>
            </w:tcMar>
            <w:shd w:fill="F2F2F2"/>
          </w:tcPr>
          <w:p>
            <w:r>
              <w:t>Student Risk Indexer</w:t>
            </w:r>
          </w:p>
        </w:tc>
        <w:tc>
          <w:tcPr>
            <w:tcW w:type="dxa" w:w="3120"/>
            <w:tcMar>
              <w:top w:w="100" w:type="dxa"/>
              <w:bottom w:w="100" w:type="dxa"/>
              <w:left w:w="150" w:type="dxa"/>
              <w:right w:w="150" w:type="dxa"/>
            </w:tcMar>
            <w:shd w:fill="F2F2F2"/>
          </w:tcPr>
          <w:p>
            <w:r>
              <w:t>Processes student timeline events to raise over-dependency indices.</w:t>
            </w:r>
          </w:p>
        </w:tc>
      </w:tr>
      <w:tr>
        <w:tc>
          <w:tcPr>
            <w:tcW w:type="dxa" w:w="3120"/>
            <w:tcMar>
              <w:top w:w="100" w:type="dxa"/>
              <w:bottom w:w="100" w:type="dxa"/>
              <w:left w:w="150" w:type="dxa"/>
              <w:right w:w="150" w:type="dxa"/>
            </w:tcMar>
            <w:shd w:fill="F2F2F2"/>
          </w:tcPr>
          <w:p>
            <w:r>
              <w:t>backend/routes/dashboard.py</w:t>
            </w:r>
          </w:p>
        </w:tc>
        <w:tc>
          <w:tcPr>
            <w:tcW w:type="dxa" w:w="3120"/>
            <w:tcMar>
              <w:top w:w="100" w:type="dxa"/>
              <w:bottom w:w="100" w:type="dxa"/>
              <w:left w:w="150" w:type="dxa"/>
              <w:right w:w="150" w:type="dxa"/>
            </w:tcMar>
            <w:shd w:fill="F2F2F2"/>
          </w:tcPr>
          <w:p>
            <w:r>
              <w:t>Dashboard Metrics API</w:t>
            </w:r>
          </w:p>
        </w:tc>
        <w:tc>
          <w:tcPr>
            <w:tcW w:type="dxa" w:w="3120"/>
            <w:tcMar>
              <w:top w:w="100" w:type="dxa"/>
              <w:bottom w:w="100" w:type="dxa"/>
              <w:left w:w="150" w:type="dxa"/>
              <w:right w:w="150" w:type="dxa"/>
            </w:tcMar>
            <w:shd w:fill="F2F2F2"/>
          </w:tcPr>
          <w:p>
            <w:r>
              <w:t>Aggregates overall statistics, timelines, and linguistic parity indices.</w:t>
            </w:r>
          </w:p>
        </w:tc>
      </w:tr>
      <w:tr>
        <w:tc>
          <w:tcPr>
            <w:tcW w:type="dxa" w:w="3120"/>
            <w:tcMar>
              <w:top w:w="100" w:type="dxa"/>
              <w:bottom w:w="100" w:type="dxa"/>
              <w:left w:w="150" w:type="dxa"/>
              <w:right w:w="150" w:type="dxa"/>
            </w:tcMar>
            <w:shd w:fill="F2F2F2"/>
          </w:tcPr>
          <w:p>
            <w:r>
              <w:t>frontend/index.html</w:t>
            </w:r>
          </w:p>
        </w:tc>
        <w:tc>
          <w:tcPr>
            <w:tcW w:type="dxa" w:w="3120"/>
            <w:tcMar>
              <w:top w:w="100" w:type="dxa"/>
              <w:bottom w:w="100" w:type="dxa"/>
              <w:left w:w="150" w:type="dxa"/>
              <w:right w:w="150" w:type="dxa"/>
            </w:tcMar>
            <w:shd w:fill="F2F2F2"/>
          </w:tcPr>
          <w:p>
            <w:r>
              <w:t>Main UI Layout</w:t>
            </w:r>
          </w:p>
        </w:tc>
        <w:tc>
          <w:tcPr>
            <w:tcW w:type="dxa" w:w="3120"/>
            <w:tcMar>
              <w:top w:w="100" w:type="dxa"/>
              <w:bottom w:w="100" w:type="dxa"/>
              <w:left w:w="150" w:type="dxa"/>
              <w:right w:w="150" w:type="dxa"/>
            </w:tcMar>
            <w:shd w:fill="F2F2F2"/>
          </w:tcPr>
          <w:p>
            <w:r>
              <w:t>A responsive dashboard design optimized for dark visual formats.</w:t>
            </w:r>
          </w:p>
        </w:tc>
      </w:tr>
      <w:tr>
        <w:tc>
          <w:tcPr>
            <w:tcW w:type="dxa" w:w="3120"/>
            <w:tcMar>
              <w:top w:w="100" w:type="dxa"/>
              <w:bottom w:w="100" w:type="dxa"/>
              <w:left w:w="150" w:type="dxa"/>
              <w:right w:w="150" w:type="dxa"/>
            </w:tcMar>
            <w:shd w:fill="F2F2F2"/>
          </w:tcPr>
          <w:p>
            <w:r>
              <w:t>frontend/js/dashboard.js</w:t>
            </w:r>
          </w:p>
        </w:tc>
        <w:tc>
          <w:tcPr>
            <w:tcW w:type="dxa" w:w="3120"/>
            <w:tcMar>
              <w:top w:w="100" w:type="dxa"/>
              <w:bottom w:w="100" w:type="dxa"/>
              <w:left w:w="150" w:type="dxa"/>
              <w:right w:w="150" w:type="dxa"/>
            </w:tcMar>
            <w:shd w:fill="F2F2F2"/>
          </w:tcPr>
          <w:p>
            <w:r>
              <w:t>Chart &amp; UI Orchestration</w:t>
            </w:r>
          </w:p>
        </w:tc>
        <w:tc>
          <w:tcPr>
            <w:tcW w:type="dxa" w:w="3120"/>
            <w:tcMar>
              <w:top w:w="100" w:type="dxa"/>
              <w:bottom w:w="100" w:type="dxa"/>
              <w:left w:w="150" w:type="dxa"/>
              <w:right w:w="150" w:type="dxa"/>
            </w:tcMar>
            <w:shd w:fill="F2F2F2"/>
          </w:tcPr>
          <w:p>
            <w:r>
              <w:t>Queries the backend API and drives chart widgets via Chart.js.</w:t>
            </w:r>
          </w:p>
        </w:tc>
      </w:tr>
    </w:tbl>
    <w:p>
      <w:pPr>
        <w:spacing w:after="240"/>
      </w:pPr>
    </w:p>
    <w:p>
      <w:pPr>
        <w:pStyle w:val="Heading1"/>
        <w:keepNext/>
        <w:spacing w:before="240" w:after="120"/>
      </w:pPr>
      <w:r>
        <w:rPr>
          <w:rFonts w:ascii="Calibri" w:hAnsi="Calibri"/>
          <w:color w:val="1F4E79"/>
          <w:sz w:val="36"/>
        </w:rPr>
        <w:t>6. Future Recommendations &amp; Mitigation Steps</w:t>
      </w:r>
    </w:p>
    <w:p>
      <w:pPr>
        <w:pStyle w:val="ListBullet"/>
        <w:spacing w:after="80"/>
      </w:pPr>
      <w:r>
        <w:rPr>
          <w:b/>
        </w:rPr>
        <w:t xml:space="preserve">Adaptive Difficulty Scaffolding: </w:t>
      </w:r>
      <w:r>
        <w:t>Integrate adaptive threshold feedback to dynamically adjust tutor scaffolding rules when a student triggers a Yellow dependency status.</w:t>
      </w:r>
    </w:p>
    <w:p>
      <w:pPr>
        <w:pStyle w:val="ListBullet"/>
        <w:spacing w:after="80"/>
      </w:pPr>
      <w:r>
        <w:rPr>
          <w:b/>
        </w:rPr>
        <w:t xml:space="preserve">Teacher Co-Pilot View: </w:t>
      </w:r>
      <w:r>
        <w:t>Provide automated email alerts or SMS notifications for high-priority hallucination risks or critical dependency spikes.</w:t>
      </w:r>
    </w:p>
    <w:p>
      <w:pPr>
        <w:pStyle w:val="ListBullet"/>
        <w:spacing w:after="80"/>
      </w:pPr>
      <w:r>
        <w:rPr>
          <w:b/>
        </w:rPr>
        <w:t xml:space="preserve">Anonymized Compliance Reporting: </w:t>
      </w:r>
      <w:r>
        <w:t>Incorporate automated export pipelines for FERPA/GDPR compliance audits, saving detailed scoring breakdowns to CSV or signed PDFs.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