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44"/>
        </w:rPr>
        <w:t>VEXUS: AI-Powered Multilingual Tutoring &amp; Evaluation Platform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Complete System Architecture, Prediction Algorithms, and Technical Specification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1. Executive Summary &amp; Core Purpose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Vexus is an enterprise-grade AI tutoring and evaluation platform designed to assess, audit, and enhance AI pedagogical assistants across five core dimensions: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1. Answer Quality (Pedagogical Efficacy):</w:t>
      </w:r>
      <w:r>
        <w:rPr>
          <w:rFonts w:ascii="Calibri" w:hAnsi="Calibri"/>
          <w:sz w:val="22"/>
        </w:rPr>
        <w:t xml:space="preserve"> Measures factual accuracy, completeness, clarity, pedagogical framing, and age suitability.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2. Hallucination Risk (Factuality &amp; Safety):</w:t>
      </w:r>
      <w:r>
        <w:rPr>
          <w:rFonts w:ascii="Calibri" w:hAnsi="Calibri"/>
          <w:sz w:val="22"/>
        </w:rPr>
        <w:t xml:space="preserve"> Audits unverified claims, fabricated citations, faulty formulas, and uncalibrated confidence.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3. Student Dependency (Over-reliance Telemetry):</w:t>
      </w:r>
      <w:r>
        <w:rPr>
          <w:rFonts w:ascii="Calibri" w:hAnsi="Calibri"/>
          <w:sz w:val="22"/>
        </w:rPr>
        <w:t xml:space="preserve"> Tracks over-reliance telemetry including query volume, copy-paste similarities, and scaffolding bypass.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4. Learning Outcomes (Knowledge Progression &amp; Retention):</w:t>
      </w:r>
      <w:r>
        <w:rPr>
          <w:rFonts w:ascii="Calibri" w:hAnsi="Calibri"/>
          <w:sz w:val="22"/>
        </w:rPr>
        <w:t xml:space="preserve"> Quantifies educational gain by comparing pre/post assessments, Bloom's cognitive levels, and retention.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5. Multilingual Parity (Equitable Cross-Lingual Tutoring):</w:t>
      </w:r>
      <w:r>
        <w:rPr>
          <w:rFonts w:ascii="Calibri" w:hAnsi="Calibri"/>
          <w:sz w:val="22"/>
        </w:rPr>
        <w:t xml:space="preserve"> Ensures equitable tutoring quality and calibrated accuracy across multiple native languages.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2. End-to-End System Architecture &amp; Data Flow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The system consists of a four-tier architecture designed for high throughput, caching efficiency, and fault tolerance: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1. Client &amp; Presentation Layer:</w:t>
      </w:r>
      <w:r>
        <w:rPr>
          <w:rFonts w:ascii="Calibri" w:hAnsi="Calibri"/>
          <w:sz w:val="22"/>
        </w:rPr>
        <w:t xml:space="preserve"> Built with vanilla HTML5, CSS3, JavaScript, and Chart.js. Delivers an executive dark-mode dashboard, single/batch evaluation interface, student learning profiles, live safety alerts feed, and an interactive AI tutor chat simulator.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2. Application &amp; API Routing Layer:</w:t>
      </w:r>
      <w:r>
        <w:rPr>
          <w:rFonts w:ascii="Calibri" w:hAnsi="Calibri"/>
          <w:sz w:val="22"/>
        </w:rPr>
        <w:t xml:space="preserve"> High-performance asynchronous FastAPI service exposing RESTful JSON endpoints. Implements CORS middleware, static file serving, and background PPTX generation.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3. Inference &amp; Evaluation Engine:</w:t>
      </w:r>
      <w:r>
        <w:rPr>
          <w:rFonts w:ascii="Calibri" w:hAnsi="Calibri"/>
          <w:sz w:val="22"/>
        </w:rPr>
        <w:t xml:space="preserve"> Houses the five dedicated Python evaluation modules, in-memory MD5 caching, deep translation pipeline, and Wikipedia reference grounding.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4. Persistence &amp; External Services:</w:t>
      </w:r>
      <w:r>
        <w:rPr>
          <w:rFonts w:ascii="Calibri" w:hAnsi="Calibri"/>
          <w:sz w:val="22"/>
        </w:rPr>
        <w:t xml:space="preserve"> SQLite database (evaluations.db) with SQLAlchemy ORM, local domain knowledge base (knowledge_base.json), and Groq LLaMA 3.3 70B inference.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3. Data Lifecycle: Ingestion, Inference &amp; Return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3.1 Ingestion Flow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When a user submits a query or evaluation request: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Input Submission:</w:t>
      </w:r>
      <w:r>
        <w:rPr>
          <w:rFonts w:ascii="Calibri" w:hAnsi="Calibri"/>
          <w:sz w:val="22"/>
        </w:rPr>
        <w:t xml:space="preserve"> The frontend client validates the form fields and sends an asynchronous HTTP POST request to /api/evaluate or /api/simulator/chat.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Language Normalization:</w:t>
      </w:r>
      <w:r>
        <w:rPr>
          <w:rFonts w:ascii="Calibri" w:hAnsi="Calibri"/>
          <w:sz w:val="22"/>
        </w:rPr>
        <w:t xml:space="preserve"> langdetect detects the student's native language ISO code (e.g., 'hi', 'fr', 'es', 'en'). Non-English inputs are seamlessly translated to standard English via deep-translator.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In-Memory Deduplication:</w:t>
      </w:r>
      <w:r>
        <w:rPr>
          <w:rFonts w:ascii="Calibri" w:hAnsi="Calibri"/>
          <w:sz w:val="22"/>
        </w:rPr>
        <w:t xml:space="preserve"> An MD5 hash of the request payload is checked against _EVAL_CACHE. If a match is found, cached metrics are returned instantly.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3.2 Inference &amp; Evaluation Execution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Dynamic Grounding:</w:t>
      </w:r>
      <w:r>
        <w:rPr>
          <w:rFonts w:ascii="Calibri" w:hAnsi="Calibri"/>
          <w:sz w:val="22"/>
        </w:rPr>
        <w:t xml:space="preserve"> If ground truth is omitted, the engine queries the Wikipedia API to retrieve top summary sentences for factual reference.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Quality &amp; Hallucination Scoring:</w:t>
      </w:r>
      <w:r>
        <w:rPr>
          <w:rFonts w:ascii="Calibri" w:hAnsi="Calibri"/>
          <w:sz w:val="22"/>
        </w:rPr>
        <w:t xml:space="preserve"> Evaluated concurrently via Groq LLaMA 3.3 70B using strict JSON-only schema outputs.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Telemetry &amp; Learning Outcomes:</w:t>
      </w:r>
      <w:r>
        <w:rPr>
          <w:rFonts w:ascii="Calibri" w:hAnsi="Calibri"/>
          <w:sz w:val="22"/>
        </w:rPr>
        <w:t xml:space="preserve"> Calculated deterministically from student historical records, session timestamps, and pre/post/retention assessment scores in SQLite.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Alert Triggering:</w:t>
      </w:r>
      <w:r>
        <w:rPr>
          <w:rFonts w:ascii="Calibri" w:hAnsi="Calibri"/>
          <w:sz w:val="22"/>
        </w:rPr>
        <w:t xml:space="preserve"> If hallucination risk &gt; 0.5 or dependency index ≥ 0.3, system alerts are triggered and stored in SQLite.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3.3 Return &amp; Visualisation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The server serializes results into strongly-typed Pydantic response models. The frontend updates radar score charts, metric trend lines, A–F grade badges, and pedagogical recommendations in real time.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4. Evaluation Modules &amp; Mathematical Prediction Models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Module 1: Answer Quality Scorer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Formula: Quality Score = (0.30 × Accuracy) + (0.25 × Completeness) + (0.20 × Clarity) + (0.15 × Pedagogical Value) + (0.10 × Age Appropriateness)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Accuracy (30%):</w:t>
      </w:r>
      <w:r>
        <w:rPr>
          <w:rFonts w:ascii="Calibri" w:hAnsi="Calibri"/>
          <w:sz w:val="22"/>
        </w:rPr>
        <w:t xml:space="preserve"> Factual correctness compared against ground truth and domain knowledge.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Completeness (25%):</w:t>
      </w:r>
      <w:r>
        <w:rPr>
          <w:rFonts w:ascii="Calibri" w:hAnsi="Calibri"/>
          <w:sz w:val="22"/>
        </w:rPr>
        <w:t xml:space="preserve"> Breadth and depth covering all facets of the student query.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Clarity (20%):</w:t>
      </w:r>
      <w:r>
        <w:rPr>
          <w:rFonts w:ascii="Calibri" w:hAnsi="Calibri"/>
          <w:sz w:val="22"/>
        </w:rPr>
        <w:t xml:space="preserve"> Easy to understand, structural elegance, and readability.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Pedagogical Value (15%):</w:t>
      </w:r>
      <w:r>
        <w:rPr>
          <w:rFonts w:ascii="Calibri" w:hAnsi="Calibri"/>
          <w:sz w:val="22"/>
        </w:rPr>
        <w:t xml:space="preserve"> Pedagogical scaffolding, analogies, and intuitive conceptual explanations.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Age Appropriateness (10%):</w:t>
      </w:r>
      <w:r>
        <w:rPr>
          <w:rFonts w:ascii="Calibri" w:hAnsi="Calibri"/>
          <w:sz w:val="22"/>
        </w:rPr>
        <w:t xml:space="preserve"> Vocabulary and cognitive suitability for the specified grade level.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Module 2: Hallucination Detector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Formula: Hallucination Risk = (0.40 × Fabrication) + (0.20 × Citation) + (0.20 × Formula) + (0.20 × Confidence)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Fabrication Score (40%):</w:t>
      </w:r>
      <w:r>
        <w:rPr>
          <w:rFonts w:ascii="Calibri" w:hAnsi="Calibri"/>
          <w:sz w:val="22"/>
        </w:rPr>
        <w:t xml:space="preserve"> Risk of invented entities, historical dates, or unsupported claims.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Citation Score (20%):</w:t>
      </w:r>
      <w:r>
        <w:rPr>
          <w:rFonts w:ascii="Calibri" w:hAnsi="Calibri"/>
          <w:sz w:val="22"/>
        </w:rPr>
        <w:t xml:space="preserve"> Risk of fake, non-existent, or distorted academic references.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Formula Score (20%):</w:t>
      </w:r>
      <w:r>
        <w:rPr>
          <w:rFonts w:ascii="Calibri" w:hAnsi="Calibri"/>
          <w:sz w:val="22"/>
        </w:rPr>
        <w:t xml:space="preserve"> Mathematical, chemical, or logical syntax inaccuracies.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Confidence Score (20%):</w:t>
      </w:r>
      <w:r>
        <w:rPr>
          <w:rFonts w:ascii="Calibri" w:hAnsi="Calibri"/>
          <w:sz w:val="22"/>
        </w:rPr>
        <w:t xml:space="preserve"> Absolutist or uncalibrated language asserting uncertain/incorrect claims.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Module 3: Student Dependency Analyzer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Formula: Dependency Index = (0.25 × QF) + (0.30 × CPR) + (0.25 × SAT) + (0.20 × SB)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Query Frequency (QF, 25%):</w:t>
      </w:r>
      <w:r>
        <w:rPr>
          <w:rFonts w:ascii="Calibri" w:hAnsi="Calibri"/>
          <w:sz w:val="22"/>
        </w:rPr>
        <w:t xml:space="preserve"> Number of queries submitted within 24 hours (20+ queries = 1.0).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Copy-Paste Ratio (CPR, 30%):</w:t>
      </w:r>
      <w:r>
        <w:rPr>
          <w:rFonts w:ascii="Calibri" w:hAnsi="Calibri"/>
          <w:sz w:val="22"/>
        </w:rPr>
        <w:t xml:space="preserve"> Jaccard similarity between consecutive AI responses to detect copy-pasting.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Self-Attempt Time (SAT, 25%):</w:t>
      </w:r>
      <w:r>
        <w:rPr>
          <w:rFonts w:ascii="Calibri" w:hAnsi="Calibri"/>
          <w:sz w:val="22"/>
        </w:rPr>
        <w:t xml:space="preserve"> Time delta between sessions (&lt; 2 min = 1.0; &gt; 60 min = 0.0).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Scaffolding Bypass (SB, 20%):</w:t>
      </w:r>
      <w:r>
        <w:rPr>
          <w:rFonts w:ascii="Calibri" w:hAnsi="Calibri"/>
          <w:sz w:val="22"/>
        </w:rPr>
        <w:t xml:space="preserve"> Ratio of direct answer requests vs. learning/explaining requests.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Module 4: Learning Outcomes Tracker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Formula: Learning Score = (0.40 × Assessment Gain) + (0.35 × Bloom Progression) + (0.25 × Retention Rate)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Assessment Gain (40%):</w:t>
      </w:r>
      <w:r>
        <w:rPr>
          <w:rFonts w:ascii="Calibri" w:hAnsi="Calibri"/>
          <w:sz w:val="22"/>
        </w:rPr>
        <w:t xml:space="preserve"> Normalised improvement between Pre-Test and Post-Test scores.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Bloom Progression (35%):</w:t>
      </w:r>
      <w:r>
        <w:rPr>
          <w:rFonts w:ascii="Calibri" w:hAnsi="Calibri"/>
          <w:sz w:val="22"/>
        </w:rPr>
        <w:t xml:space="preserve"> Average Bloom's Taxonomy cognitive level (1=Remembering to 6=Creating) mapped 0–100.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2"/>
        </w:rPr>
        <w:t>• Retention Rate (25%):</w:t>
      </w:r>
      <w:r>
        <w:rPr>
          <w:rFonts w:ascii="Calibri" w:hAnsi="Calibri"/>
          <w:sz w:val="22"/>
        </w:rPr>
        <w:t xml:space="preserve"> Ratio of Retention Test score relative to Post-Test score.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E7490"/>
          <w:sz w:val="26"/>
        </w:rPr>
        <w:t>Composite Evaluation Score &amp; Letter Grade</w:t>
      </w:r>
    </w:p>
    <w:p>
      <w:pPr>
        <w:spacing w:line="276" w:lineRule="auto" w:after="80"/>
      </w:pPr>
      <w:r>
        <w:rPr>
          <w:rFonts w:ascii="Calibri" w:hAnsi="Calibri"/>
          <w:sz w:val="22"/>
        </w:rPr>
        <w:t>Composite = (0.35 × Quality) + (0.25 × (1 - Hallucination Risk) × 100) + (0.15 × (1 - Dependency Index) × 100) + (0.25 × Learning Score)</w:t>
      </w:r>
    </w:p>
    <w:p>
      <w:pPr>
        <w:pStyle w:val="ListBullet"/>
        <w:spacing w:line="276" w:lineRule="auto" w:after="60"/>
      </w:pPr>
      <w:r>
        <w:rPr>
          <w:rFonts w:ascii="Calibri" w:hAnsi="Calibri"/>
          <w:sz w:val="22"/>
        </w:rPr>
        <w:t xml:space="preserve"> Grade A (90–100): Exemplary Tutoring Efficacy &amp; High Student Independence.</w:t>
      </w:r>
    </w:p>
    <w:p>
      <w:pPr>
        <w:pStyle w:val="ListBullet"/>
        <w:spacing w:line="276" w:lineRule="auto" w:after="60"/>
      </w:pPr>
      <w:r>
        <w:rPr>
          <w:rFonts w:ascii="Calibri" w:hAnsi="Calibri"/>
          <w:sz w:val="22"/>
        </w:rPr>
        <w:t xml:space="preserve"> Grade B (80–89.9): High Pedagogical Quality with Low Safety Risks.</w:t>
      </w:r>
    </w:p>
    <w:p>
      <w:pPr>
        <w:pStyle w:val="ListBullet"/>
        <w:spacing w:line="276" w:lineRule="auto" w:after="60"/>
      </w:pPr>
      <w:r>
        <w:rPr>
          <w:rFonts w:ascii="Calibri" w:hAnsi="Calibri"/>
          <w:sz w:val="22"/>
        </w:rPr>
        <w:t xml:space="preserve"> Grade C (70–79.9): Satisfactory Performance; Minor Remediation Recommended.</w:t>
      </w:r>
    </w:p>
    <w:p>
      <w:pPr>
        <w:pStyle w:val="ListBullet"/>
        <w:spacing w:line="276" w:lineRule="auto" w:after="60"/>
      </w:pPr>
      <w:r>
        <w:rPr>
          <w:rFonts w:ascii="Calibri" w:hAnsi="Calibri"/>
          <w:sz w:val="22"/>
        </w:rPr>
        <w:t xml:space="preserve"> Grade D (60–69.9): Elevated Risk or Low Learning Gains Detected.</w:t>
      </w:r>
    </w:p>
    <w:p>
      <w:pPr>
        <w:pStyle w:val="ListBullet"/>
        <w:spacing w:line="276" w:lineRule="auto" w:after="60"/>
      </w:pPr>
      <w:r>
        <w:rPr>
          <w:rFonts w:ascii="Calibri" w:hAnsi="Calibri"/>
          <w:sz w:val="22"/>
        </w:rPr>
        <w:t xml:space="preserve"> Grade F (&lt; 60): Critical Intervention Required.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5. Complete Platform Features &amp;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E7490"/>
          </w:tcPr>
          <w:p>
            <w:r>
              <w:rPr>
                <w:b/>
                <w:color w:val="FFFFFF"/>
              </w:rPr>
              <w:t>Feature Component</w:t>
            </w:r>
          </w:p>
        </w:tc>
        <w:tc>
          <w:tcPr>
            <w:tcW w:type="dxa" w:w="4968"/>
            <w:shd w:fill="0E7490"/>
          </w:tcPr>
          <w:p>
            <w:r>
              <w:rPr>
                <w:b/>
                <w:color w:val="FFFFFF"/>
              </w:rPr>
              <w:t>Technical Details &amp; Capabilities</w:t>
            </w:r>
          </w:p>
        </w:tc>
      </w:tr>
      <w:tr>
        <w:tc>
          <w:tcPr>
            <w:tcW w:type="dxa" w:w="4968"/>
            <w:shd w:fill="F8FAFC"/>
          </w:tcPr>
          <w:p>
            <w:r>
              <w:t>Executive Dashboard</w:t>
            </w:r>
          </w:p>
        </w:tc>
        <w:tc>
          <w:tcPr>
            <w:tcW w:type="dxa" w:w="4968"/>
            <w:shd w:fill="FFFFFF"/>
          </w:tcPr>
          <w:p>
            <w:r>
              <w:t>Real-time aggregated KPIs, 30-day temporal trend charts, subject performance breakdown, score distribution histogram, and live safety alerts feed.</w:t>
            </w:r>
          </w:p>
        </w:tc>
      </w:tr>
      <w:tr>
        <w:tc>
          <w:tcPr>
            <w:tcW w:type="dxa" w:w="4968"/>
            <w:shd w:fill="F8FAFC"/>
          </w:tcPr>
          <w:p>
            <w:r>
              <w:t>Interactive Evaluator</w:t>
            </w:r>
          </w:p>
        </w:tc>
        <w:tc>
          <w:tcPr>
            <w:tcW w:type="dxa" w:w="4968"/>
            <w:shd w:fill="FFFFFF"/>
          </w:tcPr>
          <w:p>
            <w:r>
              <w:t>Single and batch Q&amp;A testing, automatic Wikipedia reference grounding, interactive radar breakdown, hallucination risk audits, and pedagogical action items.</w:t>
            </w:r>
          </w:p>
        </w:tc>
      </w:tr>
      <w:tr>
        <w:tc>
          <w:tcPr>
            <w:tcW w:type="dxa" w:w="4968"/>
            <w:shd w:fill="F8FAFC"/>
          </w:tcPr>
          <w:p>
            <w:r>
              <w:t>AI Tutor Simulator</w:t>
            </w:r>
          </w:p>
        </w:tc>
        <w:tc>
          <w:tcPr>
            <w:tcW w:type="dxa" w:w="4968"/>
            <w:shd w:fill="FFFFFF"/>
          </w:tcPr>
          <w:p>
            <w:r>
              <w:t>Conversational tutoring powered by Groq LLaMA 3.3, grade-adaptive tone (Grades 1–12), Markdown formatting, and multilingual translation support.</w:t>
            </w:r>
          </w:p>
        </w:tc>
      </w:tr>
      <w:tr>
        <w:tc>
          <w:tcPr>
            <w:tcW w:type="dxa" w:w="4968"/>
            <w:shd w:fill="F8FAFC"/>
          </w:tcPr>
          <w:p>
            <w:r>
              <w:t>Student Profiles</w:t>
            </w:r>
          </w:p>
        </w:tc>
        <w:tc>
          <w:tcPr>
            <w:tcW w:type="dxa" w:w="4968"/>
            <w:shd w:fill="FFFFFF"/>
          </w:tcPr>
          <w:p>
            <w:r>
              <w:t>Individual student tracking, alert badges (Healthy/Caution/Critical), 30-day longitudinal dependency charts, pre/post/retention bars, and session audit history.</w:t>
            </w:r>
          </w:p>
        </w:tc>
      </w:tr>
      <w:tr>
        <w:tc>
          <w:tcPr>
            <w:tcW w:type="dxa" w:w="4968"/>
            <w:shd w:fill="F8FAFC"/>
          </w:tcPr>
          <w:p>
            <w:r>
              <w:t>Safety Alerts System</w:t>
            </w:r>
          </w:p>
        </w:tc>
        <w:tc>
          <w:tcPr>
            <w:tcW w:type="dxa" w:w="4968"/>
            <w:shd w:fill="FFFFFF"/>
          </w:tcPr>
          <w:p>
            <w:r>
              <w:t>Automated threshold triggers for hallucination and dependency spikes, multi-tier severity (Critical, Warning, Info), and single-click resolution workflow.</w:t>
            </w:r>
          </w:p>
        </w:tc>
      </w:tr>
      <w:tr>
        <w:tc>
          <w:tcPr>
            <w:tcW w:type="dxa" w:w="4968"/>
            <w:shd w:fill="F8FAFC"/>
          </w:tcPr>
          <w:p>
            <w:r>
              <w:t>Presentation Generator</w:t>
            </w:r>
          </w:p>
        </w:tc>
        <w:tc>
          <w:tcPr>
            <w:tcW w:type="dxa" w:w="4968"/>
            <w:shd w:fill="FFFFFF"/>
          </w:tcPr>
          <w:p>
            <w:r>
              <w:t>On-demand dynamic PowerPoint presentation creation via python-pptx and instant download via /api/download-pptx endpoint.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E293B"/>
          <w:sz w:val="32"/>
        </w:rPr>
        <w:t>6. API Endpoints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12"/>
            <w:shd w:fill="F1F5F9"/>
          </w:tcPr>
          <w:p>
            <w:r>
              <w:t>POST</w:t>
            </w:r>
          </w:p>
        </w:tc>
        <w:tc>
          <w:tcPr>
            <w:tcW w:type="dxa" w:w="3312"/>
            <w:shd w:fill="FFFFFF"/>
          </w:tcPr>
          <w:p>
            <w:r>
              <w:t>/api/evaluate</w:t>
            </w:r>
          </w:p>
        </w:tc>
        <w:tc>
          <w:tcPr>
            <w:tcW w:type="dxa" w:w="3312"/>
            <w:shd w:fill="FFFFFF"/>
          </w:tcPr>
          <w:p>
            <w:r>
              <w:t>Evaluates single Q&amp;A response across all 4 modules.</w:t>
            </w:r>
          </w:p>
        </w:tc>
      </w:tr>
      <w:tr>
        <w:tc>
          <w:tcPr>
            <w:tcW w:type="dxa" w:w="3312"/>
            <w:shd w:fill="F1F5F9"/>
          </w:tcPr>
          <w:p>
            <w:r>
              <w:t>POST</w:t>
            </w:r>
          </w:p>
        </w:tc>
        <w:tc>
          <w:tcPr>
            <w:tcW w:type="dxa" w:w="3312"/>
            <w:shd w:fill="FFFFFF"/>
          </w:tcPr>
          <w:p>
            <w:r>
              <w:t>/api/evaluate/batch</w:t>
            </w:r>
          </w:p>
        </w:tc>
        <w:tc>
          <w:tcPr>
            <w:tcW w:type="dxa" w:w="3312"/>
            <w:shd w:fill="FFFFFF"/>
          </w:tcPr>
          <w:p>
            <w:r>
              <w:t>Asynchronously evaluates batch of Q&amp;A responses.</w:t>
            </w:r>
          </w:p>
        </w:tc>
      </w:tr>
      <w:tr>
        <w:tc>
          <w:tcPr>
            <w:tcW w:type="dxa" w:w="3312"/>
            <w:shd w:fill="F1F5F9"/>
          </w:tcPr>
          <w:p>
            <w:r>
              <w:t>POST</w:t>
            </w:r>
          </w:p>
        </w:tc>
        <w:tc>
          <w:tcPr>
            <w:tcW w:type="dxa" w:w="3312"/>
            <w:shd w:fill="FFFFFF"/>
          </w:tcPr>
          <w:p>
            <w:r>
              <w:t>/api/simulator/chat</w:t>
            </w:r>
          </w:p>
        </w:tc>
        <w:tc>
          <w:tcPr>
            <w:tcW w:type="dxa" w:w="3312"/>
            <w:shd w:fill="FFFFFF"/>
          </w:tcPr>
          <w:p>
            <w:r>
              <w:t>Generates multilingual AI tutoring chat response.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/api/dashboard/overview</w:t>
            </w:r>
          </w:p>
        </w:tc>
        <w:tc>
          <w:tcPr>
            <w:tcW w:type="dxa" w:w="3312"/>
            <w:shd w:fill="FFFFFF"/>
          </w:tcPr>
          <w:p>
            <w:r>
              <w:t>Retrieves aggregate KPIs, trends, and recent alerts.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/api/dashboard/trends</w:t>
            </w:r>
          </w:p>
        </w:tc>
        <w:tc>
          <w:tcPr>
            <w:tcW w:type="dxa" w:w="3312"/>
            <w:shd w:fill="FFFFFF"/>
          </w:tcPr>
          <w:p>
            <w:r>
              <w:t>Retrieves 30-day metric time-series data.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/api/dashboard/subjects</w:t>
            </w:r>
          </w:p>
        </w:tc>
        <w:tc>
          <w:tcPr>
            <w:tcW w:type="dxa" w:w="3312"/>
            <w:shd w:fill="FFFFFF"/>
          </w:tcPr>
          <w:p>
            <w:r>
              <w:t>Retrieves subject-level performance metrics.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/api/dashboard/distribution</w:t>
            </w:r>
          </w:p>
        </w:tc>
        <w:tc>
          <w:tcPr>
            <w:tcW w:type="dxa" w:w="3312"/>
            <w:shd w:fill="FFFFFF"/>
          </w:tcPr>
          <w:p>
            <w:r>
              <w:t>Retrieves score distribution breakdown.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/api/students</w:t>
            </w:r>
          </w:p>
        </w:tc>
        <w:tc>
          <w:tcPr>
            <w:tcW w:type="dxa" w:w="3312"/>
            <w:shd w:fill="FFFFFF"/>
          </w:tcPr>
          <w:p>
            <w:r>
              <w:t>Lists all students with summary metrics.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/api/students/{id}</w:t>
            </w:r>
          </w:p>
        </w:tc>
        <w:tc>
          <w:tcPr>
            <w:tcW w:type="dxa" w:w="3312"/>
            <w:shd w:fill="FFFFFF"/>
          </w:tcPr>
          <w:p>
            <w:r>
              <w:t>Retrieves comprehensive student history and sessions.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/api/alerts</w:t>
            </w:r>
          </w:p>
        </w:tc>
        <w:tc>
          <w:tcPr>
            <w:tcW w:type="dxa" w:w="3312"/>
            <w:shd w:fill="FFFFFF"/>
          </w:tcPr>
          <w:p>
            <w:r>
              <w:t>Retrieves active unresolved safety alerts.</w:t>
            </w:r>
          </w:p>
        </w:tc>
      </w:tr>
      <w:tr>
        <w:tc>
          <w:tcPr>
            <w:tcW w:type="dxa" w:w="3312"/>
            <w:shd w:fill="F1F5F9"/>
          </w:tcPr>
          <w:p>
            <w:r>
              <w:t>PUT</w:t>
            </w:r>
          </w:p>
        </w:tc>
        <w:tc>
          <w:tcPr>
            <w:tcW w:type="dxa" w:w="3312"/>
            <w:shd w:fill="FFFFFF"/>
          </w:tcPr>
          <w:p>
            <w:r>
              <w:t>/api/alerts/{id}/resolve</w:t>
            </w:r>
          </w:p>
        </w:tc>
        <w:tc>
          <w:tcPr>
            <w:tcW w:type="dxa" w:w="3312"/>
            <w:shd w:fill="FFFFFF"/>
          </w:tcPr>
          <w:p>
            <w:r>
              <w:t>Marks a specific alert as resolved.</w:t>
            </w:r>
          </w:p>
        </w:tc>
      </w:tr>
      <w:tr>
        <w:tc>
          <w:tcPr>
            <w:tcW w:type="dxa" w:w="3312"/>
            <w:shd w:fill="F1F5F9"/>
          </w:tcPr>
          <w:p>
            <w:r>
              <w:t>GET</w:t>
            </w:r>
          </w:p>
        </w:tc>
        <w:tc>
          <w:tcPr>
            <w:tcW w:type="dxa" w:w="3312"/>
            <w:shd w:fill="FFFFFF"/>
          </w:tcPr>
          <w:p>
            <w:r>
              <w:t>/api/download-pptx</w:t>
            </w:r>
          </w:p>
        </w:tc>
        <w:tc>
          <w:tcPr>
            <w:tcW w:type="dxa" w:w="3312"/>
            <w:shd w:fill="FFFFFF"/>
          </w:tcPr>
          <w:p>
            <w:r>
              <w:t>Generates and downloads presentation PowerPoint.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