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4A5568"/>
          <w:sz w:val="19"/>
        </w:rPr>
        <w:t>ACADEMIC PORTFOLIO &amp; RESUME WEBSITE SPECIFICATION DOSSIER</w:t>
        <w:br/>
        <w:t>SMART SYSTEMS LABORATORY (SSL) — ENSIAS — MOHAMMED V UNIVERSITY IN RABAT</w:t>
      </w:r>
    </w:p>
    <w:p>
      <w:pPr>
        <w:spacing w:before="40" w:after="240"/>
        <w:jc w:val="center"/>
      </w:pPr>
      <w:r>
        <w:rPr>
          <w:color w:val="0F294A"/>
        </w:rPr>
        <w:t>━━━━━━━━━━━━━━━━━━━━━━━━━━━━━━━━━━━━━━━━━━━━━━━━━━━━━━━</w:t>
      </w:r>
    </w:p>
    <w:p>
      <w:pPr>
        <w:spacing w:before="80" w:after="80"/>
      </w:pPr>
      <w:r>
        <w:rPr>
          <w:rFonts w:ascii="Arial" w:hAnsi="Arial"/>
          <w:b/>
          <w:color w:val="0F294A"/>
          <w:sz w:val="40"/>
        </w:rPr>
        <w:t>Mohcine Baalla: Academic Resume &amp; Research Portfolio Website Master Dossier</w:t>
      </w:r>
    </w:p>
    <w:p>
      <w:pPr>
        <w:spacing w:before="0" w:after="200"/>
      </w:pPr>
      <w:r>
        <w:rPr>
          <w:rFonts w:ascii="Arial" w:hAnsi="Arial"/>
          <w:i/>
          <w:color w:val="2B6CB0"/>
          <w:sz w:val="23"/>
        </w:rPr>
        <w:t>Complete Content Architecture, Page-by-Page Specifications, Research Profiles, Publications, and Technical Data for Web Development</w:t>
      </w:r>
    </w:p>
    <w:tbl>
      <w:tblPr>
        <w:tblW w:type="auto" w:w="0"/>
        <w:jc w:val="center"/>
        <w:tblLook w:firstColumn="1" w:firstRow="1" w:lastColumn="0" w:lastRow="0" w:noHBand="0" w:noVBand="1" w:val="04A0"/>
      </w:tblPr>
      <w:tblGrid>
        <w:gridCol w:w="4680"/>
        <w:gridCol w:w="4680"/>
      </w:tblGrid>
      <w:tr>
        <w:tc>
          <w:tcPr>
            <w:tcW w:type="dxa" w:w="3168"/>
            <w:shd w:fill="F0F4F8"/>
            <w:tcMar>
              <w:top w:w="50" w:type="dxa"/>
              <w:bottom w:w="50" w:type="dxa"/>
              <w:left w:w="80" w:type="dxa"/>
              <w:right w:w="80" w:type="dxa"/>
            </w:tcMar>
          </w:tcPr>
          <w:p>
            <w:r>
              <w:rPr>
                <w:rFonts w:ascii="Arial" w:hAnsi="Arial"/>
                <w:b/>
                <w:color w:val="0F294A"/>
                <w:sz w:val="18"/>
              </w:rPr>
              <w:t>Researcher Name:</w:t>
            </w:r>
          </w:p>
        </w:tc>
        <w:tc>
          <w:tcPr>
            <w:tcW w:type="dxa" w:w="6192"/>
            <w:shd w:fill="FFFFFF"/>
            <w:tcMar>
              <w:top w:w="50" w:type="dxa"/>
              <w:bottom w:w="50" w:type="dxa"/>
              <w:left w:w="80" w:type="dxa"/>
              <w:right w:w="80" w:type="dxa"/>
            </w:tcMar>
          </w:tcPr>
          <w:p>
            <w:r>
              <w:rPr>
                <w:rFonts w:ascii="Georgia" w:hAnsi="Georgia"/>
                <w:color w:val="2D3748"/>
                <w:sz w:val="18"/>
              </w:rPr>
              <w:t>Mohcine BAALLA (4th-Year PhD Candidate)</w:t>
            </w:r>
          </w:p>
        </w:tc>
      </w:tr>
      <w:tr>
        <w:tc>
          <w:tcPr>
            <w:tcW w:type="dxa" w:w="3168"/>
            <w:shd w:fill="F0F4F8"/>
            <w:tcMar>
              <w:top w:w="50" w:type="dxa"/>
              <w:bottom w:w="50" w:type="dxa"/>
              <w:left w:w="80" w:type="dxa"/>
              <w:right w:w="80" w:type="dxa"/>
            </w:tcMar>
          </w:tcPr>
          <w:p>
            <w:r>
              <w:rPr>
                <w:rFonts w:ascii="Arial" w:hAnsi="Arial"/>
                <w:b/>
                <w:color w:val="0F294A"/>
                <w:sz w:val="18"/>
              </w:rPr>
              <w:t>Institutional Affiliation:</w:t>
            </w:r>
          </w:p>
        </w:tc>
        <w:tc>
          <w:tcPr>
            <w:tcW w:type="dxa" w:w="6192"/>
            <w:shd w:fill="FFFFFF"/>
            <w:tcMar>
              <w:top w:w="50" w:type="dxa"/>
              <w:bottom w:w="50" w:type="dxa"/>
              <w:left w:w="80" w:type="dxa"/>
              <w:right w:w="80" w:type="dxa"/>
            </w:tcMar>
          </w:tcPr>
          <w:p>
            <w:r>
              <w:rPr>
                <w:rFonts w:ascii="Georgia" w:hAnsi="Georgia"/>
                <w:color w:val="2D3748"/>
                <w:sz w:val="18"/>
              </w:rPr>
              <w:t>Smart Systems Laboratory (SSL), ENSIAS, Mohammed V University in Rabat, Morocco</w:t>
            </w:r>
          </w:p>
        </w:tc>
      </w:tr>
      <w:tr>
        <w:tc>
          <w:tcPr>
            <w:tcW w:type="dxa" w:w="3168"/>
            <w:shd w:fill="F0F4F8"/>
            <w:tcMar>
              <w:top w:w="50" w:type="dxa"/>
              <w:bottom w:w="50" w:type="dxa"/>
              <w:left w:w="80" w:type="dxa"/>
              <w:right w:w="80" w:type="dxa"/>
            </w:tcMar>
          </w:tcPr>
          <w:p>
            <w:r>
              <w:rPr>
                <w:rFonts w:ascii="Arial" w:hAnsi="Arial"/>
                <w:b/>
                <w:color w:val="0F294A"/>
                <w:sz w:val="18"/>
              </w:rPr>
              <w:t>Thesis Director:</w:t>
            </w:r>
          </w:p>
        </w:tc>
        <w:tc>
          <w:tcPr>
            <w:tcW w:type="dxa" w:w="6192"/>
            <w:shd w:fill="FFFFFF"/>
            <w:tcMar>
              <w:top w:w="50" w:type="dxa"/>
              <w:bottom w:w="50" w:type="dxa"/>
              <w:left w:w="80" w:type="dxa"/>
              <w:right w:w="80" w:type="dxa"/>
            </w:tcMar>
          </w:tcPr>
          <w:p>
            <w:r>
              <w:rPr>
                <w:rFonts w:ascii="Georgia" w:hAnsi="Georgia"/>
                <w:color w:val="2D3748"/>
                <w:sz w:val="18"/>
              </w:rPr>
              <w:t>Prof. Driss BOUZIDI (Professor of Higher Education, ENSIAS, UM5)</w:t>
            </w:r>
          </w:p>
        </w:tc>
      </w:tr>
      <w:tr>
        <w:tc>
          <w:tcPr>
            <w:tcW w:type="dxa" w:w="3168"/>
            <w:shd w:fill="F0F4F8"/>
            <w:tcMar>
              <w:top w:w="50" w:type="dxa"/>
              <w:bottom w:w="50" w:type="dxa"/>
              <w:left w:w="80" w:type="dxa"/>
              <w:right w:w="80" w:type="dxa"/>
            </w:tcMar>
          </w:tcPr>
          <w:p>
            <w:r>
              <w:rPr>
                <w:rFonts w:ascii="Arial" w:hAnsi="Arial"/>
                <w:b/>
                <w:color w:val="0F294A"/>
                <w:sz w:val="18"/>
              </w:rPr>
              <w:t>Research Specialization:</w:t>
            </w:r>
          </w:p>
        </w:tc>
        <w:tc>
          <w:tcPr>
            <w:tcW w:type="dxa" w:w="6192"/>
            <w:shd w:fill="FFFFFF"/>
            <w:tcMar>
              <w:top w:w="50" w:type="dxa"/>
              <w:bottom w:w="50" w:type="dxa"/>
              <w:left w:w="80" w:type="dxa"/>
              <w:right w:w="80" w:type="dxa"/>
            </w:tcMar>
          </w:tcPr>
          <w:p>
            <w:r>
              <w:rPr>
                <w:rFonts w:ascii="Georgia" w:hAnsi="Georgia"/>
                <w:color w:val="2D3748"/>
                <w:sz w:val="18"/>
              </w:rPr>
              <w:t>Trust Management Systems, Adversarial Threat Modeling, and Resilient Defenses in SIoT and Vehicular Networks</w:t>
            </w:r>
          </w:p>
        </w:tc>
      </w:tr>
      <w:tr>
        <w:tc>
          <w:tcPr>
            <w:tcW w:type="dxa" w:w="3168"/>
            <w:shd w:fill="F0F4F8"/>
            <w:tcMar>
              <w:top w:w="50" w:type="dxa"/>
              <w:bottom w:w="50" w:type="dxa"/>
              <w:left w:w="80" w:type="dxa"/>
              <w:right w:w="80" w:type="dxa"/>
            </w:tcMar>
          </w:tcPr>
          <w:p>
            <w:r>
              <w:rPr>
                <w:rFonts w:ascii="Arial" w:hAnsi="Arial"/>
                <w:b/>
                <w:color w:val="0F294A"/>
                <w:sz w:val="18"/>
              </w:rPr>
              <w:t>Contact &amp; Identifiers:</w:t>
            </w:r>
          </w:p>
        </w:tc>
        <w:tc>
          <w:tcPr>
            <w:tcW w:type="dxa" w:w="6192"/>
            <w:shd w:fill="FFFFFF"/>
            <w:tcMar>
              <w:top w:w="50" w:type="dxa"/>
              <w:bottom w:w="50" w:type="dxa"/>
              <w:left w:w="80" w:type="dxa"/>
              <w:right w:w="80" w:type="dxa"/>
            </w:tcMar>
          </w:tcPr>
          <w:p>
            <w:r>
              <w:rPr>
                <w:rFonts w:ascii="Georgia" w:hAnsi="Georgia"/>
                <w:color w:val="2D3748"/>
                <w:sz w:val="18"/>
              </w:rPr>
              <w:t>mohcine_baalla@um5.ac.ma | ORCID: 0009-0001-5148-0556 | Rabat, Morocco</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60" w:type="dxa"/>
            </w:tcMar>
            <w:tcBorders>
              <w:top w:val="none"/>
              <w:left w:val="single" w:sz="24" w:space="0" w:color="0F294A"/>
              <w:bottom w:val="none"/>
              <w:right w:val="none"/>
            </w:tcBorders>
          </w:tcPr>
          <w:p>
            <w:pPr>
              <w:spacing w:before="40" w:after="60"/>
            </w:pPr>
            <w:r>
              <w:rPr>
                <w:rFonts w:ascii="Arial" w:hAnsi="Arial"/>
                <w:b/>
                <w:color w:val="0F294A"/>
                <w:sz w:val="20"/>
              </w:rPr>
              <w:t>★ INSTRUCTIONAL DIRECTIVE FOR WEB DEVELOPMENT AGENTS</w:t>
              <w:br/>
            </w:r>
            <w:r>
              <w:rPr>
                <w:rFonts w:ascii="Georgia" w:hAnsi="Georgia"/>
                <w:i/>
                <w:color w:val="2D3748"/>
                <w:sz w:val="19"/>
              </w:rPr>
              <w:t>Master Web Dossier Purpose: This document provides all the text, structure, data models, paper summaries, BibTeX records, and layout guidelines necessary to build an elite, modern personal academic portfolio and resume website for Mohcine Baalla. Any AI web development agent can use this single document as a complete source of truth to generate multiple static pages (Home/About, Research Interests, Publications, Testbeds/Projects, Resume/CV, and Contact).</w:t>
            </w:r>
          </w:p>
        </w:tc>
      </w:tr>
    </w:tbl>
    <w:p>
      <w:pPr>
        <w:spacing w:before="0" w:after="80"/>
      </w:pPr>
    </w:p>
    <w:p>
      <w:pPr>
        <w:pStyle w:val="Heading1"/>
        <w:keepNext/>
        <w:spacing w:before="360" w:after="160"/>
      </w:pPr>
      <w:r>
        <w:rPr>
          <w:rFonts w:ascii="Arial" w:hAnsi="Arial"/>
          <w:b/>
          <w:color w:val="0F294A"/>
          <w:sz w:val="32"/>
        </w:rPr>
        <w:t>1. Website Architecture, Navigation &amp; Design System</w:t>
      </w:r>
    </w:p>
    <w:p>
      <w:pPr>
        <w:spacing w:before="0" w:after="120" w:line="276" w:lineRule="auto"/>
      </w:pPr>
      <w:r>
        <w:rPr>
          <w:rFonts w:ascii="Arial" w:hAnsi="Arial"/>
          <w:b/>
          <w:color w:val="1A202C"/>
          <w:sz w:val="20"/>
        </w:rPr>
        <w:t xml:space="preserve">Architectural Overview. </w:t>
      </w:r>
      <w:r>
        <w:rPr>
          <w:rFonts w:ascii="Georgia" w:hAnsi="Georgia"/>
          <w:i w:val="0"/>
          <w:color w:val="2D3748"/>
          <w:sz w:val="20"/>
        </w:rPr>
        <w:t>To ensure a seamless, professional presentation for academic peers, hiring committees, and conference organizers, the personal website is architected into six modular static sections or distinct static pages. The design emphasizes academic gravitas, high visual contrast, sleek dark/light mode adaptability, and instant accessibility to papers, code, and citations.</w:t>
      </w:r>
    </w:p>
    <w:tbl>
      <w:tblPr>
        <w:tblW w:type="auto" w:w="0"/>
        <w:jc w:val="center"/>
        <w:tblLook w:firstColumn="1" w:firstRow="1" w:lastColumn="0" w:lastRow="0" w:noHBand="0" w:noVBand="1" w:val="04A0"/>
      </w:tblPr>
      <w:tblGrid>
        <w:gridCol w:w="2340"/>
        <w:gridCol w:w="2340"/>
        <w:gridCol w:w="2340"/>
        <w:gridCol w:w="2340"/>
      </w:tblGrid>
      <w:tr>
        <w:tc>
          <w:tcPr>
            <w:tcW w:type="dxa" w:w="2016"/>
            <w:shd w:fill="0F294A"/>
            <w:tcMar>
              <w:top w:w="120" w:type="dxa"/>
              <w:bottom w:w="120" w:type="dxa"/>
              <w:left w:w="130" w:type="dxa"/>
              <w:right w:w="130" w:type="dxa"/>
            </w:tcMar>
          </w:tcPr>
          <w:p>
            <w:pPr>
              <w:jc w:val="left"/>
            </w:pPr>
            <w:r>
              <w:rPr>
                <w:rFonts w:ascii="Arial" w:hAnsi="Arial"/>
                <w:b/>
                <w:color w:val="FFFFFF"/>
                <w:sz w:val="18"/>
              </w:rPr>
              <w:t>Static Page / Route</w:t>
            </w:r>
          </w:p>
        </w:tc>
        <w:tc>
          <w:tcPr>
            <w:tcW w:type="dxa" w:w="2160"/>
            <w:shd w:fill="0F294A"/>
            <w:tcMar>
              <w:top w:w="120" w:type="dxa"/>
              <w:bottom w:w="120" w:type="dxa"/>
              <w:left w:w="130" w:type="dxa"/>
              <w:right w:w="130" w:type="dxa"/>
            </w:tcMar>
          </w:tcPr>
          <w:p>
            <w:pPr>
              <w:jc w:val="left"/>
            </w:pPr>
            <w:r>
              <w:rPr>
                <w:rFonts w:ascii="Arial" w:hAnsi="Arial"/>
                <w:b/>
                <w:color w:val="FFFFFF"/>
                <w:sz w:val="18"/>
              </w:rPr>
              <w:t>Page Title</w:t>
            </w:r>
          </w:p>
        </w:tc>
        <w:tc>
          <w:tcPr>
            <w:tcW w:type="dxa" w:w="3600"/>
            <w:shd w:fill="0F294A"/>
            <w:tcMar>
              <w:top w:w="120" w:type="dxa"/>
              <w:bottom w:w="120" w:type="dxa"/>
              <w:left w:w="130" w:type="dxa"/>
              <w:right w:w="130" w:type="dxa"/>
            </w:tcMar>
          </w:tcPr>
          <w:p>
            <w:pPr>
              <w:jc w:val="left"/>
            </w:pPr>
            <w:r>
              <w:rPr>
                <w:rFonts w:ascii="Arial" w:hAnsi="Arial"/>
                <w:b/>
                <w:color w:val="FFFFFF"/>
                <w:sz w:val="18"/>
              </w:rPr>
              <w:t>Primary Content &amp; Functional Components</w:t>
            </w:r>
          </w:p>
        </w:tc>
        <w:tc>
          <w:tcPr>
            <w:tcW w:type="dxa" w:w="1872"/>
            <w:shd w:fill="0F294A"/>
            <w:tcMar>
              <w:top w:w="120" w:type="dxa"/>
              <w:bottom w:w="120" w:type="dxa"/>
              <w:left w:w="130" w:type="dxa"/>
              <w:right w:w="130" w:type="dxa"/>
            </w:tcMar>
          </w:tcPr>
          <w:p>
            <w:pPr>
              <w:jc w:val="left"/>
            </w:pPr>
            <w:r>
              <w:rPr>
                <w:rFonts w:ascii="Arial" w:hAnsi="Arial"/>
                <w:b/>
                <w:color w:val="FFFFFF"/>
                <w:sz w:val="18"/>
              </w:rPr>
              <w:t>Target Audience</w:t>
            </w:r>
          </w:p>
        </w:tc>
      </w:tr>
      <w:tr>
        <w:tc>
          <w:tcPr>
            <w:tcW w:type="dxa" w:w="2016"/>
            <w:shd w:fill="FFFFFF"/>
            <w:tcMar>
              <w:top w:w="80" w:type="dxa"/>
              <w:bottom w:w="80" w:type="dxa"/>
              <w:left w:w="120" w:type="dxa"/>
              <w:right w:w="120" w:type="dxa"/>
            </w:tcMar>
          </w:tcPr>
          <w:p>
            <w:pPr>
              <w:jc w:val="left"/>
            </w:pPr>
            <w:r>
              <w:rPr>
                <w:rFonts w:ascii="Georgia" w:hAnsi="Georgia"/>
                <w:color w:val="2D3748"/>
                <w:sz w:val="17"/>
              </w:rPr>
              <w:t>index.html / /</w:t>
            </w:r>
          </w:p>
        </w:tc>
        <w:tc>
          <w:tcPr>
            <w:tcW w:type="dxa" w:w="2160"/>
            <w:shd w:fill="FFFFFF"/>
            <w:tcMar>
              <w:top w:w="80" w:type="dxa"/>
              <w:bottom w:w="80" w:type="dxa"/>
              <w:left w:w="120" w:type="dxa"/>
              <w:right w:w="120" w:type="dxa"/>
            </w:tcMar>
          </w:tcPr>
          <w:p>
            <w:pPr>
              <w:jc w:val="left"/>
            </w:pPr>
            <w:r>
              <w:rPr>
                <w:rFonts w:ascii="Georgia" w:hAnsi="Georgia"/>
                <w:color w:val="2D3748"/>
                <w:sz w:val="17"/>
              </w:rPr>
              <w:t>Home / About Me</w:t>
            </w:r>
          </w:p>
        </w:tc>
        <w:tc>
          <w:tcPr>
            <w:tcW w:type="dxa" w:w="3600"/>
            <w:shd w:fill="FFFFFF"/>
            <w:tcMar>
              <w:top w:w="80" w:type="dxa"/>
              <w:bottom w:w="80" w:type="dxa"/>
              <w:left w:w="120" w:type="dxa"/>
              <w:right w:w="120" w:type="dxa"/>
            </w:tcMar>
          </w:tcPr>
          <w:p>
            <w:pPr>
              <w:jc w:val="left"/>
            </w:pPr>
            <w:r>
              <w:rPr>
                <w:rFonts w:ascii="Georgia" w:hAnsi="Georgia"/>
                <w:color w:val="2D3748"/>
                <w:sz w:val="17"/>
              </w:rPr>
              <w:t>Hero banner, personal bio, research tagline, live impact counter, recent news timeline, quick links.</w:t>
            </w:r>
          </w:p>
        </w:tc>
        <w:tc>
          <w:tcPr>
            <w:tcW w:type="dxa" w:w="1872"/>
            <w:shd w:fill="FFFFFF"/>
            <w:tcMar>
              <w:top w:w="80" w:type="dxa"/>
              <w:bottom w:w="80" w:type="dxa"/>
              <w:left w:w="120" w:type="dxa"/>
              <w:right w:w="120" w:type="dxa"/>
            </w:tcMar>
          </w:tcPr>
          <w:p>
            <w:pPr>
              <w:jc w:val="left"/>
            </w:pPr>
            <w:r>
              <w:rPr>
                <w:rFonts w:ascii="Georgia" w:hAnsi="Georgia"/>
                <w:color w:val="2D3748"/>
                <w:sz w:val="17"/>
              </w:rPr>
              <w:t>General Academic Visitors</w:t>
            </w:r>
          </w:p>
        </w:tc>
      </w:tr>
      <w:tr>
        <w:tc>
          <w:tcPr>
            <w:tcW w:type="dxa" w:w="2016"/>
            <w:shd w:fill="F7FAFC"/>
            <w:tcMar>
              <w:top w:w="80" w:type="dxa"/>
              <w:bottom w:w="80" w:type="dxa"/>
              <w:left w:w="120" w:type="dxa"/>
              <w:right w:w="120" w:type="dxa"/>
            </w:tcMar>
          </w:tcPr>
          <w:p>
            <w:pPr>
              <w:jc w:val="left"/>
            </w:pPr>
            <w:r>
              <w:rPr>
                <w:rFonts w:ascii="Georgia" w:hAnsi="Georgia"/>
                <w:color w:val="2D3748"/>
                <w:sz w:val="17"/>
              </w:rPr>
              <w:t>research.html / /research</w:t>
            </w:r>
          </w:p>
        </w:tc>
        <w:tc>
          <w:tcPr>
            <w:tcW w:type="dxa" w:w="2160"/>
            <w:shd w:fill="F7FAFC"/>
            <w:tcMar>
              <w:top w:w="80" w:type="dxa"/>
              <w:bottom w:w="80" w:type="dxa"/>
              <w:left w:w="120" w:type="dxa"/>
              <w:right w:w="120" w:type="dxa"/>
            </w:tcMar>
          </w:tcPr>
          <w:p>
            <w:pPr>
              <w:jc w:val="left"/>
            </w:pPr>
            <w:r>
              <w:rPr>
                <w:rFonts w:ascii="Georgia" w:hAnsi="Georgia"/>
                <w:color w:val="2D3748"/>
                <w:sz w:val="17"/>
              </w:rPr>
              <w:t>Research Interests</w:t>
            </w:r>
          </w:p>
        </w:tc>
        <w:tc>
          <w:tcPr>
            <w:tcW w:type="dxa" w:w="3600"/>
            <w:shd w:fill="F7FAFC"/>
            <w:tcMar>
              <w:top w:w="80" w:type="dxa"/>
              <w:bottom w:w="80" w:type="dxa"/>
              <w:left w:w="120" w:type="dxa"/>
              <w:right w:w="120" w:type="dxa"/>
            </w:tcMar>
          </w:tcPr>
          <w:p>
            <w:pPr>
              <w:jc w:val="left"/>
            </w:pPr>
            <w:r>
              <w:rPr>
                <w:rFonts w:ascii="Georgia" w:hAnsi="Georgia"/>
                <w:color w:val="2D3748"/>
                <w:sz w:val="17"/>
              </w:rPr>
              <w:t>5 core doctoral research pillars, methodology breakdown, threat models, interactive architectural diagrams.</w:t>
            </w:r>
          </w:p>
        </w:tc>
        <w:tc>
          <w:tcPr>
            <w:tcW w:type="dxa" w:w="1872"/>
            <w:shd w:fill="F7FAFC"/>
            <w:tcMar>
              <w:top w:w="80" w:type="dxa"/>
              <w:bottom w:w="80" w:type="dxa"/>
              <w:left w:w="120" w:type="dxa"/>
              <w:right w:w="120" w:type="dxa"/>
            </w:tcMar>
          </w:tcPr>
          <w:p>
            <w:pPr>
              <w:jc w:val="left"/>
            </w:pPr>
            <w:r>
              <w:rPr>
                <w:rFonts w:ascii="Georgia" w:hAnsi="Georgia"/>
                <w:color w:val="2D3748"/>
                <w:sz w:val="17"/>
              </w:rPr>
              <w:t>Researchers, Reviewers, PhD Juries</w:t>
            </w:r>
          </w:p>
        </w:tc>
      </w:tr>
      <w:tr>
        <w:tc>
          <w:tcPr>
            <w:tcW w:type="dxa" w:w="2016"/>
            <w:shd w:fill="FFFFFF"/>
            <w:tcMar>
              <w:top w:w="80" w:type="dxa"/>
              <w:bottom w:w="80" w:type="dxa"/>
              <w:left w:w="120" w:type="dxa"/>
              <w:right w:w="120" w:type="dxa"/>
            </w:tcMar>
          </w:tcPr>
          <w:p>
            <w:pPr>
              <w:jc w:val="left"/>
            </w:pPr>
            <w:r>
              <w:rPr>
                <w:rFonts w:ascii="Georgia" w:hAnsi="Georgia"/>
                <w:color w:val="2D3748"/>
                <w:sz w:val="17"/>
              </w:rPr>
              <w:t>publications.html / /publications</w:t>
            </w:r>
          </w:p>
        </w:tc>
        <w:tc>
          <w:tcPr>
            <w:tcW w:type="dxa" w:w="2160"/>
            <w:shd w:fill="FFFFFF"/>
            <w:tcMar>
              <w:top w:w="80" w:type="dxa"/>
              <w:bottom w:w="80" w:type="dxa"/>
              <w:left w:w="120" w:type="dxa"/>
              <w:right w:w="120" w:type="dxa"/>
            </w:tcMar>
          </w:tcPr>
          <w:p>
            <w:pPr>
              <w:jc w:val="left"/>
            </w:pPr>
            <w:r>
              <w:rPr>
                <w:rFonts w:ascii="Georgia" w:hAnsi="Georgia"/>
                <w:color w:val="2D3748"/>
                <w:sz w:val="17"/>
              </w:rPr>
              <w:t>Publications</w:t>
            </w:r>
          </w:p>
        </w:tc>
        <w:tc>
          <w:tcPr>
            <w:tcW w:type="dxa" w:w="3600"/>
            <w:shd w:fill="FFFFFF"/>
            <w:tcMar>
              <w:top w:w="80" w:type="dxa"/>
              <w:bottom w:w="80" w:type="dxa"/>
              <w:left w:w="120" w:type="dxa"/>
              <w:right w:w="120" w:type="dxa"/>
            </w:tcMar>
          </w:tcPr>
          <w:p>
            <w:pPr>
              <w:jc w:val="left"/>
            </w:pPr>
            <w:r>
              <w:rPr>
                <w:rFonts w:ascii="Georgia" w:hAnsi="Georgia"/>
                <w:color w:val="2D3748"/>
                <w:sz w:val="17"/>
              </w:rPr>
              <w:t>Filterable papers list (Journal, Conference, Accepted, Pipeline), abstracts, PDF buttons, BibTeX copy modals.</w:t>
            </w:r>
          </w:p>
        </w:tc>
        <w:tc>
          <w:tcPr>
            <w:tcW w:type="dxa" w:w="1872"/>
            <w:shd w:fill="FFFFFF"/>
            <w:tcMar>
              <w:top w:w="80" w:type="dxa"/>
              <w:bottom w:w="80" w:type="dxa"/>
              <w:left w:w="120" w:type="dxa"/>
              <w:right w:w="120" w:type="dxa"/>
            </w:tcMar>
          </w:tcPr>
          <w:p>
            <w:pPr>
              <w:jc w:val="left"/>
            </w:pPr>
            <w:r>
              <w:rPr>
                <w:rFonts w:ascii="Georgia" w:hAnsi="Georgia"/>
                <w:color w:val="2D3748"/>
                <w:sz w:val="17"/>
              </w:rPr>
              <w:t>Scholars, Citers, Reviewers</w:t>
            </w:r>
          </w:p>
        </w:tc>
      </w:tr>
      <w:tr>
        <w:tc>
          <w:tcPr>
            <w:tcW w:type="dxa" w:w="2016"/>
            <w:shd w:fill="F7FAFC"/>
            <w:tcMar>
              <w:top w:w="80" w:type="dxa"/>
              <w:bottom w:w="80" w:type="dxa"/>
              <w:left w:w="120" w:type="dxa"/>
              <w:right w:w="120" w:type="dxa"/>
            </w:tcMar>
          </w:tcPr>
          <w:p>
            <w:pPr>
              <w:jc w:val="left"/>
            </w:pPr>
            <w:r>
              <w:rPr>
                <w:rFonts w:ascii="Georgia" w:hAnsi="Georgia"/>
                <w:color w:val="2D3748"/>
                <w:sz w:val="17"/>
              </w:rPr>
              <w:t>projects.html / /projects</w:t>
            </w:r>
          </w:p>
        </w:tc>
        <w:tc>
          <w:tcPr>
            <w:tcW w:type="dxa" w:w="2160"/>
            <w:shd w:fill="F7FAFC"/>
            <w:tcMar>
              <w:top w:w="80" w:type="dxa"/>
              <w:bottom w:w="80" w:type="dxa"/>
              <w:left w:w="120" w:type="dxa"/>
              <w:right w:w="120" w:type="dxa"/>
            </w:tcMar>
          </w:tcPr>
          <w:p>
            <w:pPr>
              <w:jc w:val="left"/>
            </w:pPr>
            <w:r>
              <w:rPr>
                <w:rFonts w:ascii="Georgia" w:hAnsi="Georgia"/>
                <w:color w:val="2D3748"/>
                <w:sz w:val="17"/>
              </w:rPr>
              <w:t>Testbeds &amp; Projects</w:t>
            </w:r>
          </w:p>
        </w:tc>
        <w:tc>
          <w:tcPr>
            <w:tcW w:type="dxa" w:w="3600"/>
            <w:shd w:fill="F7FAFC"/>
            <w:tcMar>
              <w:top w:w="80" w:type="dxa"/>
              <w:bottom w:w="80" w:type="dxa"/>
              <w:left w:w="120" w:type="dxa"/>
              <w:right w:w="120" w:type="dxa"/>
            </w:tcMar>
          </w:tcPr>
          <w:p>
            <w:pPr>
              <w:jc w:val="left"/>
            </w:pPr>
            <w:r>
              <w:rPr>
                <w:rFonts w:ascii="Georgia" w:hAnsi="Georgia"/>
                <w:color w:val="2D3748"/>
                <w:sz w:val="17"/>
              </w:rPr>
              <w:t>Simulation environments (Contiki-NG/Cooja, OMNeT++/Veins, PyTorch Geometric), hardware setups, datasets.</w:t>
            </w:r>
          </w:p>
        </w:tc>
        <w:tc>
          <w:tcPr>
            <w:tcW w:type="dxa" w:w="1872"/>
            <w:shd w:fill="F7FAFC"/>
            <w:tcMar>
              <w:top w:w="80" w:type="dxa"/>
              <w:bottom w:w="80" w:type="dxa"/>
              <w:left w:w="120" w:type="dxa"/>
              <w:right w:w="120" w:type="dxa"/>
            </w:tcMar>
          </w:tcPr>
          <w:p>
            <w:pPr>
              <w:jc w:val="left"/>
            </w:pPr>
            <w:r>
              <w:rPr>
                <w:rFonts w:ascii="Georgia" w:hAnsi="Georgia"/>
                <w:color w:val="2D3748"/>
                <w:sz w:val="17"/>
              </w:rPr>
              <w:t>Collaborators &amp; Technical Evaluators</w:t>
            </w:r>
          </w:p>
        </w:tc>
      </w:tr>
      <w:tr>
        <w:tc>
          <w:tcPr>
            <w:tcW w:type="dxa" w:w="2016"/>
            <w:shd w:fill="FFFFFF"/>
            <w:tcMar>
              <w:top w:w="80" w:type="dxa"/>
              <w:bottom w:w="80" w:type="dxa"/>
              <w:left w:w="120" w:type="dxa"/>
              <w:right w:w="120" w:type="dxa"/>
            </w:tcMar>
          </w:tcPr>
          <w:p>
            <w:pPr>
              <w:jc w:val="left"/>
            </w:pPr>
            <w:r>
              <w:rPr>
                <w:rFonts w:ascii="Georgia" w:hAnsi="Georgia"/>
                <w:color w:val="2D3748"/>
                <w:sz w:val="17"/>
              </w:rPr>
              <w:t>cv.html / /cv</w:t>
            </w:r>
          </w:p>
        </w:tc>
        <w:tc>
          <w:tcPr>
            <w:tcW w:type="dxa" w:w="2160"/>
            <w:shd w:fill="FFFFFF"/>
            <w:tcMar>
              <w:top w:w="80" w:type="dxa"/>
              <w:bottom w:w="80" w:type="dxa"/>
              <w:left w:w="120" w:type="dxa"/>
              <w:right w:w="120" w:type="dxa"/>
            </w:tcMar>
          </w:tcPr>
          <w:p>
            <w:pPr>
              <w:jc w:val="left"/>
            </w:pPr>
            <w:r>
              <w:rPr>
                <w:rFonts w:ascii="Georgia" w:hAnsi="Georgia"/>
                <w:color w:val="2D3748"/>
                <w:sz w:val="17"/>
              </w:rPr>
              <w:t>Resume / Curriculum Vitae</w:t>
            </w:r>
          </w:p>
        </w:tc>
        <w:tc>
          <w:tcPr>
            <w:tcW w:type="dxa" w:w="3600"/>
            <w:shd w:fill="FFFFFF"/>
            <w:tcMar>
              <w:top w:w="80" w:type="dxa"/>
              <w:bottom w:w="80" w:type="dxa"/>
              <w:left w:w="120" w:type="dxa"/>
              <w:right w:w="120" w:type="dxa"/>
            </w:tcMar>
          </w:tcPr>
          <w:p>
            <w:pPr>
              <w:jc w:val="left"/>
            </w:pPr>
            <w:r>
              <w:rPr>
                <w:rFonts w:ascii="Georgia" w:hAnsi="Georgia"/>
                <w:color w:val="2D3748"/>
                <w:sz w:val="17"/>
              </w:rPr>
              <w:t>Academic timeline, education, technical skillset, teaching/seminars, awards, downloadable PDF CV.</w:t>
            </w:r>
          </w:p>
        </w:tc>
        <w:tc>
          <w:tcPr>
            <w:tcW w:type="dxa" w:w="1872"/>
            <w:shd w:fill="FFFFFF"/>
            <w:tcMar>
              <w:top w:w="80" w:type="dxa"/>
              <w:bottom w:w="80" w:type="dxa"/>
              <w:left w:w="120" w:type="dxa"/>
              <w:right w:w="120" w:type="dxa"/>
            </w:tcMar>
          </w:tcPr>
          <w:p>
            <w:pPr>
              <w:jc w:val="left"/>
            </w:pPr>
            <w:r>
              <w:rPr>
                <w:rFonts w:ascii="Georgia" w:hAnsi="Georgia"/>
                <w:color w:val="2D3748"/>
                <w:sz w:val="17"/>
              </w:rPr>
              <w:t>Hiring Committees, Recruiters</w:t>
            </w:r>
          </w:p>
        </w:tc>
      </w:tr>
      <w:tr>
        <w:tc>
          <w:tcPr>
            <w:tcW w:type="dxa" w:w="2016"/>
            <w:shd w:fill="F7FAFC"/>
            <w:tcMar>
              <w:top w:w="80" w:type="dxa"/>
              <w:bottom w:w="80" w:type="dxa"/>
              <w:left w:w="120" w:type="dxa"/>
              <w:right w:w="120" w:type="dxa"/>
            </w:tcMar>
          </w:tcPr>
          <w:p>
            <w:pPr>
              <w:jc w:val="left"/>
            </w:pPr>
            <w:r>
              <w:rPr>
                <w:rFonts w:ascii="Georgia" w:hAnsi="Georgia"/>
                <w:color w:val="2D3748"/>
                <w:sz w:val="17"/>
              </w:rPr>
              <w:t>contact.html / /contact</w:t>
            </w:r>
          </w:p>
        </w:tc>
        <w:tc>
          <w:tcPr>
            <w:tcW w:type="dxa" w:w="2160"/>
            <w:shd w:fill="F7FAFC"/>
            <w:tcMar>
              <w:top w:w="80" w:type="dxa"/>
              <w:bottom w:w="80" w:type="dxa"/>
              <w:left w:w="120" w:type="dxa"/>
              <w:right w:w="120" w:type="dxa"/>
            </w:tcMar>
          </w:tcPr>
          <w:p>
            <w:pPr>
              <w:jc w:val="left"/>
            </w:pPr>
            <w:r>
              <w:rPr>
                <w:rFonts w:ascii="Georgia" w:hAnsi="Georgia"/>
                <w:color w:val="2D3748"/>
                <w:sz w:val="17"/>
              </w:rPr>
              <w:t>Contact &amp; Connect</w:t>
            </w:r>
          </w:p>
        </w:tc>
        <w:tc>
          <w:tcPr>
            <w:tcW w:type="dxa" w:w="3600"/>
            <w:shd w:fill="F7FAFC"/>
            <w:tcMar>
              <w:top w:w="80" w:type="dxa"/>
              <w:bottom w:w="80" w:type="dxa"/>
              <w:left w:w="120" w:type="dxa"/>
              <w:right w:w="120" w:type="dxa"/>
            </w:tcMar>
          </w:tcPr>
          <w:p>
            <w:pPr>
              <w:jc w:val="left"/>
            </w:pPr>
            <w:r>
              <w:rPr>
                <w:rFonts w:ascii="Georgia" w:hAnsi="Georgia"/>
                <w:color w:val="2D3748"/>
                <w:sz w:val="17"/>
              </w:rPr>
              <w:t>Institutional email, office location (ENSIAS SSL), social profiles (Google Scholar, ResearchGate, ORCID, GitHub).</w:t>
            </w:r>
          </w:p>
        </w:tc>
        <w:tc>
          <w:tcPr>
            <w:tcW w:type="dxa" w:w="1872"/>
            <w:shd w:fill="F7FAFC"/>
            <w:tcMar>
              <w:top w:w="80" w:type="dxa"/>
              <w:bottom w:w="80" w:type="dxa"/>
              <w:left w:w="120" w:type="dxa"/>
              <w:right w:w="120" w:type="dxa"/>
            </w:tcMar>
          </w:tcPr>
          <w:p>
            <w:pPr>
              <w:jc w:val="left"/>
            </w:pPr>
            <w:r>
              <w:rPr>
                <w:rFonts w:ascii="Georgia" w:hAnsi="Georgia"/>
                <w:color w:val="2D3748"/>
                <w:sz w:val="17"/>
              </w:rPr>
              <w:t>Academic Collaborators</w:t>
            </w:r>
          </w:p>
        </w:tc>
      </w:tr>
    </w:tbl>
    <w:p>
      <w:pPr>
        <w:spacing w:before="80" w:after="120"/>
      </w:pPr>
    </w:p>
    <w:p>
      <w:pPr>
        <w:pStyle w:val="Heading2"/>
        <w:keepNext/>
        <w:spacing w:before="280" w:after="120"/>
      </w:pPr>
      <w:r>
        <w:rPr>
          <w:rFonts w:ascii="Arial" w:hAnsi="Arial"/>
          <w:b/>
          <w:color w:val="1A365D"/>
          <w:sz w:val="26"/>
        </w:rPr>
        <w:t>1.1 Visual Identity &amp; Design Tokens</w:t>
      </w:r>
    </w:p>
    <w:p>
      <w:pPr>
        <w:pStyle w:val="ListBullet"/>
        <w:spacing w:before="0" w:after="60" w:line="276" w:lineRule="auto"/>
      </w:pPr>
      <w:r>
        <w:rPr>
          <w:rFonts w:ascii="Arial" w:hAnsi="Arial"/>
          <w:b/>
          <w:color w:val="1A202C"/>
          <w:sz w:val="19"/>
        </w:rPr>
        <w:t xml:space="preserve">Primary Color Palette: </w:t>
      </w:r>
      <w:r>
        <w:rPr>
          <w:rFonts w:ascii="Georgia" w:hAnsi="Georgia"/>
          <w:color w:val="2D3748"/>
          <w:sz w:val="19"/>
        </w:rPr>
        <w:t>Deep Navy (`#0F294A`), Academic Sapphire (`#1A365D`), Slate Blue Accent (`#2B6CB0`), Subtle Background Tint (`#F8FAFC`), Surface Clean White (`#FFFFFF`).</w:t>
      </w:r>
    </w:p>
    <w:p>
      <w:pPr>
        <w:pStyle w:val="ListBullet"/>
        <w:spacing w:before="0" w:after="60" w:line="276" w:lineRule="auto"/>
      </w:pPr>
      <w:r>
        <w:rPr>
          <w:rFonts w:ascii="Arial" w:hAnsi="Arial"/>
          <w:b/>
          <w:color w:val="1A202C"/>
          <w:sz w:val="19"/>
        </w:rPr>
        <w:t xml:space="preserve">Accent &amp; Status Badges: </w:t>
      </w:r>
      <w:r>
        <w:rPr>
          <w:rFonts w:ascii="Georgia" w:hAnsi="Georgia"/>
          <w:color w:val="2D3748"/>
          <w:sz w:val="19"/>
        </w:rPr>
        <w:t>Emerald Success (`#10B981` - Published), Amber In-Press (`#F59E0B` - Accepted / In Press), Purple Research (`#8B5CF6` - Active Pipeline), Red Alert (`#EF4444` - Adversarial Threats).</w:t>
      </w:r>
    </w:p>
    <w:p>
      <w:pPr>
        <w:pStyle w:val="ListBullet"/>
        <w:spacing w:before="0" w:after="60" w:line="276" w:lineRule="auto"/>
      </w:pPr>
      <w:r>
        <w:rPr>
          <w:rFonts w:ascii="Arial" w:hAnsi="Arial"/>
          <w:b/>
          <w:color w:val="1A202C"/>
          <w:sz w:val="19"/>
        </w:rPr>
        <w:t xml:space="preserve">Typography: </w:t>
      </w:r>
      <w:r>
        <w:rPr>
          <w:rFonts w:ascii="Georgia" w:hAnsi="Georgia"/>
          <w:color w:val="2D3748"/>
          <w:sz w:val="19"/>
        </w:rPr>
        <w:t>Headings: Inter, Outfit, or Montserrat (Bold, Modern Sans-Serif). Body Text: Inter, Roboto, or Georgia (Crisp Legibility). Monospace/Code: JetBrains Mono or Fira Code for BibTeX.</w:t>
      </w:r>
    </w:p>
    <w:p>
      <w:pPr>
        <w:pStyle w:val="ListBullet"/>
        <w:spacing w:before="0" w:after="60" w:line="276" w:lineRule="auto"/>
      </w:pPr>
      <w:r>
        <w:rPr>
          <w:rFonts w:ascii="Arial" w:hAnsi="Arial"/>
          <w:b/>
          <w:color w:val="1A202C"/>
          <w:sz w:val="19"/>
        </w:rPr>
        <w:t xml:space="preserve">Key UI Micro-Interactions: </w:t>
      </w:r>
      <w:r>
        <w:rPr>
          <w:rFonts w:ascii="Georgia" w:hAnsi="Georgia"/>
          <w:color w:val="2D3748"/>
          <w:sz w:val="19"/>
        </w:rPr>
        <w:t>Sticky top navigation bar with mobile hamburger drawer, smooth dark/light mode toggle, 1-click 'Copy BibTeX' toast notification, interactive paper category filters (All, Journals, Conferences, Under Review), and embedded PDF viewer modal.</w:t>
      </w:r>
    </w:p>
    <w:p>
      <w:pPr>
        <w:pStyle w:val="Heading1"/>
        <w:keepNext/>
        <w:spacing w:before="360" w:after="160"/>
      </w:pPr>
      <w:r>
        <w:rPr>
          <w:rFonts w:ascii="Arial" w:hAnsi="Arial"/>
          <w:b/>
          <w:color w:val="0F294A"/>
          <w:sz w:val="32"/>
        </w:rPr>
        <w:t>2. Page 1 Specification: Home / About Me</w:t>
      </w:r>
    </w:p>
    <w:p>
      <w:pPr>
        <w:pStyle w:val="Heading2"/>
        <w:keepNext/>
        <w:spacing w:before="280" w:after="120"/>
      </w:pPr>
      <w:r>
        <w:rPr>
          <w:rFonts w:ascii="Arial" w:hAnsi="Arial"/>
          <w:b/>
          <w:color w:val="1A365D"/>
          <w:sz w:val="26"/>
        </w:rPr>
        <w:t>2.1 Hero Banner &amp; Professional Taglines</w:t>
      </w:r>
    </w:p>
    <w:p>
      <w:pPr>
        <w:spacing w:before="0" w:after="120" w:line="276" w:lineRule="auto"/>
      </w:pPr>
      <w:r>
        <w:rPr>
          <w:rFonts w:ascii="Arial" w:hAnsi="Arial"/>
          <w:b/>
          <w:color w:val="1A202C"/>
          <w:sz w:val="20"/>
        </w:rPr>
        <w:t xml:space="preserve">Full Headline: </w:t>
      </w:r>
      <w:r>
        <w:rPr>
          <w:rFonts w:ascii="Georgia" w:hAnsi="Georgia"/>
          <w:i/>
          <w:color w:val="2D3748"/>
          <w:sz w:val="20"/>
        </w:rPr>
        <w:t>Mohcine Baalla | 4th-Year PhD Candidate in Computer Science &amp; Cybersecurity</w:t>
      </w:r>
    </w:p>
    <w:p>
      <w:pPr>
        <w:spacing w:before="0" w:after="120" w:line="276" w:lineRule="auto"/>
      </w:pPr>
      <w:r>
        <w:rPr>
          <w:rFonts w:ascii="Arial" w:hAnsi="Arial"/>
          <w:b/>
          <w:color w:val="1A202C"/>
          <w:sz w:val="20"/>
        </w:rPr>
        <w:t xml:space="preserve">Sub-Headline: </w:t>
      </w:r>
      <w:r>
        <w:rPr>
          <w:rFonts w:ascii="Georgia" w:hAnsi="Georgia"/>
          <w:i w:val="0"/>
          <w:color w:val="2D3748"/>
          <w:sz w:val="20"/>
        </w:rPr>
        <w:t>Smart Systems Laboratory (SSL), National School of Computer Science and Systems Analysis (ENSIAS), Mohammed V University in Rabat, Morocco.</w:t>
      </w:r>
    </w:p>
    <w:p>
      <w:pPr>
        <w:spacing w:before="0" w:after="120" w:line="276" w:lineRule="auto"/>
      </w:pPr>
      <w:r>
        <w:rPr>
          <w:rFonts w:ascii="Arial" w:hAnsi="Arial"/>
          <w:b/>
          <w:color w:val="1A202C"/>
          <w:sz w:val="20"/>
        </w:rPr>
        <w:t xml:space="preserve">Elevator Pitch / Tagline: </w:t>
      </w:r>
      <w:r>
        <w:rPr>
          <w:rFonts w:ascii="Georgia" w:hAnsi="Georgia"/>
          <w:i/>
          <w:color w:val="2D3748"/>
          <w:sz w:val="20"/>
        </w:rPr>
        <w:t>'Pioneering resilient, lightweight, and privacy-preserving trust management systems for the Social Internet of Things (SIoT) and connected vehicular networks through localized structural diversity gating, continuous-time relational deep learning, and zero-knowledge proofs.'</w:t>
      </w:r>
    </w:p>
    <w:p>
      <w:pPr>
        <w:pStyle w:val="Heading2"/>
        <w:keepNext/>
        <w:spacing w:before="280" w:after="120"/>
      </w:pPr>
      <w:r>
        <w:rPr>
          <w:rFonts w:ascii="Arial" w:hAnsi="Arial"/>
          <w:b/>
          <w:color w:val="1A365D"/>
          <w:sz w:val="26"/>
        </w:rPr>
        <w:t>2.2 Biographical Summaries (Ready for Web)</w:t>
      </w:r>
    </w:p>
    <w:p>
      <w:pPr>
        <w:spacing w:before="0" w:after="120" w:line="276" w:lineRule="auto"/>
      </w:pPr>
      <w:r>
        <w:rPr>
          <w:rFonts w:ascii="Arial" w:hAnsi="Arial"/>
          <w:b/>
          <w:color w:val="1A202C"/>
          <w:sz w:val="20"/>
        </w:rPr>
        <w:t xml:space="preserve">Professional Biography (Third-Person): </w:t>
      </w:r>
      <w:r>
        <w:rPr>
          <w:rFonts w:ascii="Georgia" w:hAnsi="Georgia"/>
          <w:i w:val="0"/>
          <w:color w:val="2D3748"/>
          <w:sz w:val="20"/>
        </w:rPr>
        <w:t>Mohcine Baalla is a doctoral researcher in Computer Science at the Smart Systems Laboratory (SSL), National School of Computer Science and Systems Analysis (ENSIAS), Mohammed V University in Rabat, Morocco, under the supervision of Prof. Driss Bouzidi. His doctoral investigation operates at the crossroads of Cybersecurity, Distributed Trust Management, and Social Graph Analytics. Mohcine's research formalizes novel relationship-layer adversarial threats in the Social Internet of Things (SIoT)—notably introducing the Fake Relationship Attack (FRA)—and engineers edge-native mitigation frameworks, continuous-time relational attention models, and privacy-preserving zero-knowledge verification protocols tailored for resource-constrained edge ecosystems and vehicular ad-hoc networks.</w:t>
      </w:r>
    </w:p>
    <w:p>
      <w:pPr>
        <w:spacing w:before="0" w:after="120" w:line="276" w:lineRule="auto"/>
      </w:pPr>
      <w:r>
        <w:rPr>
          <w:rFonts w:ascii="Arial" w:hAnsi="Arial"/>
          <w:b/>
          <w:color w:val="1A202C"/>
          <w:sz w:val="20"/>
        </w:rPr>
        <w:t xml:space="preserve">Personal Statement (First-Person): </w:t>
      </w:r>
      <w:r>
        <w:rPr>
          <w:rFonts w:ascii="Georgia" w:hAnsi="Georgia"/>
          <w:i w:val="0"/>
          <w:color w:val="2D3748"/>
          <w:sz w:val="20"/>
        </w:rPr>
        <w:t>I am a 4th-year PhD candidate at ENSIAS, Mohammed V University in Rabat, directed by Prof. Driss Bouzidi. My research addresses fundamental security vulnerabilities in decentralized Trust Management Systems across the Social Internet of Things (SIoT) and Vehicular Social Networks (SIoV). By moving beyond conventional device-centric security, I develop algorithmic defenses against structural recommendation collusion (Fake Relationship Attacks), dynamic behavioral switching (Trust Manipulation Attacks), and generative temporal mimicry. My methodologies combine cycle-accurate IoT sensor simulation (Contiki-NG/Cooja), realistic vehicular mobility modeling (OMNeT++/Veins/SUMO), Continuous-Time Dynamic Graph Neural Networks, and Zero-Knowledge Proofs (zk-SNARKs).</w:t>
      </w:r>
    </w:p>
    <w:p>
      <w:pPr>
        <w:pStyle w:val="Heading2"/>
        <w:keepNext/>
        <w:spacing w:before="280" w:after="120"/>
      </w:pPr>
      <w:r>
        <w:rPr>
          <w:rFonts w:ascii="Arial" w:hAnsi="Arial"/>
          <w:b/>
          <w:color w:val="1A365D"/>
          <w:sz w:val="26"/>
        </w:rPr>
        <w:t>2.3 Research Impact Highlights (Stats Counter Widget)</w:t>
      </w:r>
    </w:p>
    <w:tbl>
      <w:tblPr>
        <w:tblW w:type="auto" w:w="0"/>
        <w:jc w:val="center"/>
        <w:tblLook w:firstColumn="1" w:firstRow="1" w:lastColumn="0" w:lastRow="0" w:noHBand="0" w:noVBand="1" w:val="04A0"/>
      </w:tblPr>
      <w:tblGrid>
        <w:gridCol w:w="2340"/>
        <w:gridCol w:w="2340"/>
        <w:gridCol w:w="2340"/>
        <w:gridCol w:w="2340"/>
      </w:tblGrid>
      <w:tr>
        <w:tc>
          <w:tcPr>
            <w:tcW w:type="dxa" w:w="2448"/>
            <w:shd w:fill="1A365D"/>
            <w:tcMar>
              <w:top w:w="120" w:type="dxa"/>
              <w:bottom w:w="120" w:type="dxa"/>
              <w:left w:w="130" w:type="dxa"/>
              <w:right w:w="130" w:type="dxa"/>
            </w:tcMar>
          </w:tcPr>
          <w:p>
            <w:pPr>
              <w:jc w:val="left"/>
            </w:pPr>
            <w:r>
              <w:rPr>
                <w:rFonts w:ascii="Arial" w:hAnsi="Arial"/>
                <w:b/>
                <w:color w:val="FFFFFF"/>
                <w:sz w:val="18"/>
              </w:rPr>
              <w:t>Metric Label</w:t>
            </w:r>
          </w:p>
        </w:tc>
        <w:tc>
          <w:tcPr>
            <w:tcW w:type="dxa" w:w="1728"/>
            <w:shd w:fill="1A365D"/>
            <w:tcMar>
              <w:top w:w="120" w:type="dxa"/>
              <w:bottom w:w="120" w:type="dxa"/>
              <w:left w:w="130" w:type="dxa"/>
              <w:right w:w="130" w:type="dxa"/>
            </w:tcMar>
          </w:tcPr>
          <w:p>
            <w:pPr>
              <w:jc w:val="left"/>
            </w:pPr>
            <w:r>
              <w:rPr>
                <w:rFonts w:ascii="Arial" w:hAnsi="Arial"/>
                <w:b/>
                <w:color w:val="FFFFFF"/>
                <w:sz w:val="18"/>
              </w:rPr>
              <w:t>Value / Count</w:t>
            </w:r>
          </w:p>
        </w:tc>
        <w:tc>
          <w:tcPr>
            <w:tcW w:type="dxa" w:w="3312"/>
            <w:shd w:fill="1A365D"/>
            <w:tcMar>
              <w:top w:w="120" w:type="dxa"/>
              <w:bottom w:w="120" w:type="dxa"/>
              <w:left w:w="130" w:type="dxa"/>
              <w:right w:w="130" w:type="dxa"/>
            </w:tcMar>
          </w:tcPr>
          <w:p>
            <w:pPr>
              <w:jc w:val="left"/>
            </w:pPr>
            <w:r>
              <w:rPr>
                <w:rFonts w:ascii="Arial" w:hAnsi="Arial"/>
                <w:b/>
                <w:color w:val="FFFFFF"/>
                <w:sz w:val="18"/>
              </w:rPr>
              <w:t>Description / Sub-label</w:t>
            </w:r>
          </w:p>
        </w:tc>
        <w:tc>
          <w:tcPr>
            <w:tcW w:type="dxa" w:w="2160"/>
            <w:shd w:fill="1A365D"/>
            <w:tcMar>
              <w:top w:w="120" w:type="dxa"/>
              <w:bottom w:w="120" w:type="dxa"/>
              <w:left w:w="130" w:type="dxa"/>
              <w:right w:w="130" w:type="dxa"/>
            </w:tcMar>
          </w:tcPr>
          <w:p>
            <w:pPr>
              <w:jc w:val="left"/>
            </w:pPr>
            <w:r>
              <w:rPr>
                <w:rFonts w:ascii="Arial" w:hAnsi="Arial"/>
                <w:b/>
                <w:color w:val="FFFFFF"/>
                <w:sz w:val="18"/>
              </w:rPr>
              <w:t>Target Badge Style</w:t>
            </w:r>
          </w:p>
        </w:tc>
      </w:tr>
      <w:tr>
        <w:tc>
          <w:tcPr>
            <w:tcW w:type="dxa" w:w="2448"/>
            <w:shd w:fill="FFFFFF"/>
            <w:tcMar>
              <w:top w:w="80" w:type="dxa"/>
              <w:bottom w:w="80" w:type="dxa"/>
              <w:left w:w="120" w:type="dxa"/>
              <w:right w:w="120" w:type="dxa"/>
            </w:tcMar>
          </w:tcPr>
          <w:p>
            <w:pPr>
              <w:jc w:val="left"/>
            </w:pPr>
            <w:r>
              <w:rPr>
                <w:rFonts w:ascii="Georgia" w:hAnsi="Georgia"/>
                <w:color w:val="2D3748"/>
                <w:sz w:val="17"/>
              </w:rPr>
              <w:t>Peer-Reviewed Publications</w:t>
            </w:r>
          </w:p>
        </w:tc>
        <w:tc>
          <w:tcPr>
            <w:tcW w:type="dxa" w:w="1728"/>
            <w:shd w:fill="FFFFFF"/>
            <w:tcMar>
              <w:top w:w="80" w:type="dxa"/>
              <w:bottom w:w="80" w:type="dxa"/>
              <w:left w:w="120" w:type="dxa"/>
              <w:right w:w="120" w:type="dxa"/>
            </w:tcMar>
          </w:tcPr>
          <w:p>
            <w:pPr>
              <w:jc w:val="left"/>
            </w:pPr>
            <w:r>
              <w:rPr>
                <w:rFonts w:ascii="Georgia" w:hAnsi="Georgia"/>
                <w:color w:val="2D3748"/>
                <w:sz w:val="17"/>
              </w:rPr>
              <w:t>5 Published</w:t>
            </w:r>
          </w:p>
        </w:tc>
        <w:tc>
          <w:tcPr>
            <w:tcW w:type="dxa" w:w="3312"/>
            <w:shd w:fill="FFFFFF"/>
            <w:tcMar>
              <w:top w:w="80" w:type="dxa"/>
              <w:bottom w:w="80" w:type="dxa"/>
              <w:left w:w="120" w:type="dxa"/>
              <w:right w:w="120" w:type="dxa"/>
            </w:tcMar>
          </w:tcPr>
          <w:p>
            <w:pPr>
              <w:jc w:val="left"/>
            </w:pPr>
            <w:r>
              <w:rPr>
                <w:rFonts w:ascii="Georgia" w:hAnsi="Georgia"/>
                <w:color w:val="2D3748"/>
                <w:sz w:val="17"/>
              </w:rPr>
              <w:t>1 Journal (MDPI JCP) + 4 Conferences (IEEE, Springer, ICDS)</w:t>
            </w:r>
          </w:p>
        </w:tc>
        <w:tc>
          <w:tcPr>
            <w:tcW w:type="dxa" w:w="2160"/>
            <w:shd w:fill="FFFFFF"/>
            <w:tcMar>
              <w:top w:w="80" w:type="dxa"/>
              <w:bottom w:w="80" w:type="dxa"/>
              <w:left w:w="120" w:type="dxa"/>
              <w:right w:w="120" w:type="dxa"/>
            </w:tcMar>
          </w:tcPr>
          <w:p>
            <w:pPr>
              <w:jc w:val="left"/>
            </w:pPr>
            <w:r>
              <w:rPr>
                <w:rFonts w:ascii="Georgia" w:hAnsi="Georgia"/>
                <w:color w:val="2D3748"/>
                <w:sz w:val="17"/>
              </w:rPr>
              <w:t>Emerald Badge</w:t>
            </w:r>
          </w:p>
        </w:tc>
      </w:tr>
      <w:tr>
        <w:tc>
          <w:tcPr>
            <w:tcW w:type="dxa" w:w="2448"/>
            <w:shd w:fill="F7FAFC"/>
            <w:tcMar>
              <w:top w:w="80" w:type="dxa"/>
              <w:bottom w:w="80" w:type="dxa"/>
              <w:left w:w="120" w:type="dxa"/>
              <w:right w:w="120" w:type="dxa"/>
            </w:tcMar>
          </w:tcPr>
          <w:p>
            <w:pPr>
              <w:jc w:val="left"/>
            </w:pPr>
            <w:r>
              <w:rPr>
                <w:rFonts w:ascii="Georgia" w:hAnsi="Georgia"/>
                <w:color w:val="2D3748"/>
                <w:sz w:val="17"/>
              </w:rPr>
              <w:t>Accepted Conference Papers</w:t>
            </w:r>
          </w:p>
        </w:tc>
        <w:tc>
          <w:tcPr>
            <w:tcW w:type="dxa" w:w="1728"/>
            <w:shd w:fill="F7FAFC"/>
            <w:tcMar>
              <w:top w:w="80" w:type="dxa"/>
              <w:bottom w:w="80" w:type="dxa"/>
              <w:left w:w="120" w:type="dxa"/>
              <w:right w:w="120" w:type="dxa"/>
            </w:tcMar>
          </w:tcPr>
          <w:p>
            <w:pPr>
              <w:jc w:val="left"/>
            </w:pPr>
            <w:r>
              <w:rPr>
                <w:rFonts w:ascii="Georgia" w:hAnsi="Georgia"/>
                <w:color w:val="2D3748"/>
                <w:sz w:val="17"/>
              </w:rPr>
              <w:t>1 In Press</w:t>
            </w:r>
          </w:p>
        </w:tc>
        <w:tc>
          <w:tcPr>
            <w:tcW w:type="dxa" w:w="3312"/>
            <w:shd w:fill="F7FAFC"/>
            <w:tcMar>
              <w:top w:w="80" w:type="dxa"/>
              <w:bottom w:w="80" w:type="dxa"/>
              <w:left w:w="120" w:type="dxa"/>
              <w:right w:w="120" w:type="dxa"/>
            </w:tcMar>
          </w:tcPr>
          <w:p>
            <w:pPr>
              <w:jc w:val="left"/>
            </w:pPr>
            <w:r>
              <w:rPr>
                <w:rFonts w:ascii="Georgia" w:hAnsi="Georgia"/>
                <w:color w:val="2D3748"/>
                <w:sz w:val="17"/>
              </w:rPr>
              <w:t>AISDS 2025 (Introducing FRA in SIoT)</w:t>
            </w:r>
          </w:p>
        </w:tc>
        <w:tc>
          <w:tcPr>
            <w:tcW w:type="dxa" w:w="2160"/>
            <w:shd w:fill="F7FAFC"/>
            <w:tcMar>
              <w:top w:w="80" w:type="dxa"/>
              <w:bottom w:w="80" w:type="dxa"/>
              <w:left w:w="120" w:type="dxa"/>
              <w:right w:w="120" w:type="dxa"/>
            </w:tcMar>
          </w:tcPr>
          <w:p>
            <w:pPr>
              <w:jc w:val="left"/>
            </w:pPr>
            <w:r>
              <w:rPr>
                <w:rFonts w:ascii="Georgia" w:hAnsi="Georgia"/>
                <w:color w:val="2D3748"/>
                <w:sz w:val="17"/>
              </w:rPr>
              <w:t>Amber Badge</w:t>
            </w:r>
          </w:p>
        </w:tc>
      </w:tr>
      <w:tr>
        <w:tc>
          <w:tcPr>
            <w:tcW w:type="dxa" w:w="2448"/>
            <w:shd w:fill="FFFFFF"/>
            <w:tcMar>
              <w:top w:w="80" w:type="dxa"/>
              <w:bottom w:w="80" w:type="dxa"/>
              <w:left w:w="120" w:type="dxa"/>
              <w:right w:w="120" w:type="dxa"/>
            </w:tcMar>
          </w:tcPr>
          <w:p>
            <w:pPr>
              <w:jc w:val="left"/>
            </w:pPr>
            <w:r>
              <w:rPr>
                <w:rFonts w:ascii="Georgia" w:hAnsi="Georgia"/>
                <w:color w:val="2D3748"/>
                <w:sz w:val="17"/>
              </w:rPr>
              <w:t>Pipeline Manuscripts</w:t>
            </w:r>
          </w:p>
        </w:tc>
        <w:tc>
          <w:tcPr>
            <w:tcW w:type="dxa" w:w="1728"/>
            <w:shd w:fill="FFFFFF"/>
            <w:tcMar>
              <w:top w:w="80" w:type="dxa"/>
              <w:bottom w:w="80" w:type="dxa"/>
              <w:left w:w="120" w:type="dxa"/>
              <w:right w:w="120" w:type="dxa"/>
            </w:tcMar>
          </w:tcPr>
          <w:p>
            <w:pPr>
              <w:jc w:val="left"/>
            </w:pPr>
            <w:r>
              <w:rPr>
                <w:rFonts w:ascii="Georgia" w:hAnsi="Georgia"/>
                <w:color w:val="2D3748"/>
                <w:sz w:val="17"/>
              </w:rPr>
              <w:t>4 Active</w:t>
            </w:r>
          </w:p>
        </w:tc>
        <w:tc>
          <w:tcPr>
            <w:tcW w:type="dxa" w:w="3312"/>
            <w:shd w:fill="FFFFFF"/>
            <w:tcMar>
              <w:top w:w="80" w:type="dxa"/>
              <w:bottom w:w="80" w:type="dxa"/>
              <w:left w:w="120" w:type="dxa"/>
              <w:right w:w="120" w:type="dxa"/>
            </w:tcMar>
          </w:tcPr>
          <w:p>
            <w:pPr>
              <w:jc w:val="left"/>
            </w:pPr>
            <w:r>
              <w:rPr>
                <w:rFonts w:ascii="Georgia" w:hAnsi="Georgia"/>
                <w:color w:val="2D3748"/>
                <w:sz w:val="17"/>
              </w:rPr>
              <w:t>Targeted: IEEE Access, Elsevier, IEEE IoT-J</w:t>
            </w:r>
          </w:p>
        </w:tc>
        <w:tc>
          <w:tcPr>
            <w:tcW w:type="dxa" w:w="2160"/>
            <w:shd w:fill="FFFFFF"/>
            <w:tcMar>
              <w:top w:w="80" w:type="dxa"/>
              <w:bottom w:w="80" w:type="dxa"/>
              <w:left w:w="120" w:type="dxa"/>
              <w:right w:w="120" w:type="dxa"/>
            </w:tcMar>
          </w:tcPr>
          <w:p>
            <w:pPr>
              <w:jc w:val="left"/>
            </w:pPr>
            <w:r>
              <w:rPr>
                <w:rFonts w:ascii="Georgia" w:hAnsi="Georgia"/>
                <w:color w:val="2D3748"/>
                <w:sz w:val="17"/>
              </w:rPr>
              <w:t>Purple Badge</w:t>
            </w:r>
          </w:p>
        </w:tc>
      </w:tr>
      <w:tr>
        <w:tc>
          <w:tcPr>
            <w:tcW w:type="dxa" w:w="2448"/>
            <w:shd w:fill="F7FAFC"/>
            <w:tcMar>
              <w:top w:w="80" w:type="dxa"/>
              <w:bottom w:w="80" w:type="dxa"/>
              <w:left w:w="120" w:type="dxa"/>
              <w:right w:w="120" w:type="dxa"/>
            </w:tcMar>
          </w:tcPr>
          <w:p>
            <w:pPr>
              <w:jc w:val="left"/>
            </w:pPr>
            <w:r>
              <w:rPr>
                <w:rFonts w:ascii="Georgia" w:hAnsi="Georgia"/>
                <w:color w:val="2D3748"/>
                <w:sz w:val="17"/>
              </w:rPr>
              <w:t>Simulation Accuracy</w:t>
            </w:r>
          </w:p>
        </w:tc>
        <w:tc>
          <w:tcPr>
            <w:tcW w:type="dxa" w:w="1728"/>
            <w:shd w:fill="F7FAFC"/>
            <w:tcMar>
              <w:top w:w="80" w:type="dxa"/>
              <w:bottom w:w="80" w:type="dxa"/>
              <w:left w:w="120" w:type="dxa"/>
              <w:right w:w="120" w:type="dxa"/>
            </w:tcMar>
          </w:tcPr>
          <w:p>
            <w:pPr>
              <w:jc w:val="left"/>
            </w:pPr>
            <w:r>
              <w:rPr>
                <w:rFonts w:ascii="Georgia" w:hAnsi="Georgia"/>
                <w:color w:val="2D3748"/>
                <w:sz w:val="17"/>
              </w:rPr>
              <w:t>98.6% F1</w:t>
            </w:r>
          </w:p>
        </w:tc>
        <w:tc>
          <w:tcPr>
            <w:tcW w:type="dxa" w:w="3312"/>
            <w:shd w:fill="F7FAFC"/>
            <w:tcMar>
              <w:top w:w="80" w:type="dxa"/>
              <w:bottom w:w="80" w:type="dxa"/>
              <w:left w:w="120" w:type="dxa"/>
              <w:right w:w="120" w:type="dxa"/>
            </w:tcMar>
          </w:tcPr>
          <w:p>
            <w:pPr>
              <w:jc w:val="left"/>
            </w:pPr>
            <w:r>
              <w:rPr>
                <w:rFonts w:ascii="Georgia" w:hAnsi="Georgia"/>
                <w:color w:val="2D3748"/>
                <w:sz w:val="17"/>
              </w:rPr>
              <w:t>Cooja / Contiki-NG Hardware Emulation</w:t>
            </w:r>
          </w:p>
        </w:tc>
        <w:tc>
          <w:tcPr>
            <w:tcW w:type="dxa" w:w="2160"/>
            <w:shd w:fill="F7FAFC"/>
            <w:tcMar>
              <w:top w:w="80" w:type="dxa"/>
              <w:bottom w:w="80" w:type="dxa"/>
              <w:left w:w="120" w:type="dxa"/>
              <w:right w:w="120" w:type="dxa"/>
            </w:tcMar>
          </w:tcPr>
          <w:p>
            <w:pPr>
              <w:jc w:val="left"/>
            </w:pPr>
            <w:r>
              <w:rPr>
                <w:rFonts w:ascii="Georgia" w:hAnsi="Georgia"/>
                <w:color w:val="2D3748"/>
                <w:sz w:val="17"/>
              </w:rPr>
              <w:t>Blue Badge</w:t>
            </w:r>
          </w:p>
        </w:tc>
      </w:tr>
      <w:tr>
        <w:tc>
          <w:tcPr>
            <w:tcW w:type="dxa" w:w="2448"/>
            <w:shd w:fill="FFFFFF"/>
            <w:tcMar>
              <w:top w:w="80" w:type="dxa"/>
              <w:bottom w:w="80" w:type="dxa"/>
              <w:left w:w="120" w:type="dxa"/>
              <w:right w:w="120" w:type="dxa"/>
            </w:tcMar>
          </w:tcPr>
          <w:p>
            <w:pPr>
              <w:jc w:val="left"/>
            </w:pPr>
            <w:r>
              <w:rPr>
                <w:rFonts w:ascii="Georgia" w:hAnsi="Georgia"/>
                <w:color w:val="2D3748"/>
                <w:sz w:val="17"/>
              </w:rPr>
              <w:t>Defense Eligibility</w:t>
            </w:r>
          </w:p>
        </w:tc>
        <w:tc>
          <w:tcPr>
            <w:tcW w:type="dxa" w:w="1728"/>
            <w:shd w:fill="FFFFFF"/>
            <w:tcMar>
              <w:top w:w="80" w:type="dxa"/>
              <w:bottom w:w="80" w:type="dxa"/>
              <w:left w:w="120" w:type="dxa"/>
              <w:right w:w="120" w:type="dxa"/>
            </w:tcMar>
          </w:tcPr>
          <w:p>
            <w:pPr>
              <w:jc w:val="left"/>
            </w:pPr>
            <w:r>
              <w:rPr>
                <w:rFonts w:ascii="Georgia" w:hAnsi="Georgia"/>
                <w:color w:val="2D3748"/>
                <w:sz w:val="17"/>
              </w:rPr>
              <w:t>100% Complete</w:t>
            </w:r>
          </w:p>
        </w:tc>
        <w:tc>
          <w:tcPr>
            <w:tcW w:type="dxa" w:w="3312"/>
            <w:shd w:fill="FFFFFF"/>
            <w:tcMar>
              <w:top w:w="80" w:type="dxa"/>
              <w:bottom w:w="80" w:type="dxa"/>
              <w:left w:w="120" w:type="dxa"/>
              <w:right w:w="120" w:type="dxa"/>
            </w:tcMar>
          </w:tcPr>
          <w:p>
            <w:pPr>
              <w:jc w:val="left"/>
            </w:pPr>
            <w:r>
              <w:rPr>
                <w:rFonts w:ascii="Georgia" w:hAnsi="Georgia"/>
                <w:color w:val="2D3748"/>
                <w:sz w:val="17"/>
              </w:rPr>
              <w:t>Exceeds ENSIAS CEDoc Doctoral Defense Criteria</w:t>
            </w:r>
          </w:p>
        </w:tc>
        <w:tc>
          <w:tcPr>
            <w:tcW w:type="dxa" w:w="2160"/>
            <w:shd w:fill="FFFFFF"/>
            <w:tcMar>
              <w:top w:w="80" w:type="dxa"/>
              <w:bottom w:w="80" w:type="dxa"/>
              <w:left w:w="120" w:type="dxa"/>
              <w:right w:w="120" w:type="dxa"/>
            </w:tcMar>
          </w:tcPr>
          <w:p>
            <w:pPr>
              <w:jc w:val="left"/>
            </w:pPr>
            <w:r>
              <w:rPr>
                <w:rFonts w:ascii="Georgia" w:hAnsi="Georgia"/>
                <w:color w:val="2D3748"/>
                <w:sz w:val="17"/>
              </w:rPr>
              <w:t>Sapphire Badge</w:t>
            </w:r>
          </w:p>
        </w:tc>
      </w:tr>
    </w:tbl>
    <w:p>
      <w:pPr>
        <w:spacing w:before="80" w:after="120"/>
      </w:pPr>
    </w:p>
    <w:p>
      <w:pPr>
        <w:pStyle w:val="Heading2"/>
        <w:keepNext/>
        <w:spacing w:before="280" w:after="120"/>
      </w:pPr>
      <w:r>
        <w:rPr>
          <w:rFonts w:ascii="Arial" w:hAnsi="Arial"/>
          <w:b/>
          <w:color w:val="1A365D"/>
          <w:sz w:val="26"/>
        </w:rPr>
        <w:t>2.4 Recent News &amp; Milestones Timeline</w:t>
      </w:r>
    </w:p>
    <w:p>
      <w:pPr>
        <w:pStyle w:val="ListBullet"/>
        <w:spacing w:before="0" w:after="60" w:line="276" w:lineRule="auto"/>
      </w:pPr>
      <w:r>
        <w:rPr>
          <w:rFonts w:ascii="Arial" w:hAnsi="Arial"/>
          <w:b/>
          <w:color w:val="1A202C"/>
          <w:sz w:val="19"/>
        </w:rPr>
        <w:t xml:space="preserve">[October 2026] Journal Article Published: </w:t>
      </w:r>
      <w:r>
        <w:rPr>
          <w:rFonts w:ascii="Georgia" w:hAnsi="Georgia"/>
          <w:color w:val="2D3748"/>
          <w:sz w:val="19"/>
        </w:rPr>
        <w:t>Our paper 'A Semantic-Gated Structural Diversity Penalty to Mitigate Orchestrated Recommendation Attacks in the SIoT' is officially published in the Journal of Cybersecurity and Privacy (MDPI, Vol. 6, Issue 5, Art. 168).</w:t>
      </w:r>
    </w:p>
    <w:p>
      <w:pPr>
        <w:pStyle w:val="ListBullet"/>
        <w:spacing w:before="0" w:after="60" w:line="276" w:lineRule="auto"/>
      </w:pPr>
      <w:r>
        <w:rPr>
          <w:rFonts w:ascii="Arial" w:hAnsi="Arial"/>
          <w:b/>
          <w:color w:val="1A202C"/>
          <w:sz w:val="19"/>
        </w:rPr>
        <w:t xml:space="preserve">[September 2025] Paper Accepted at AISDS 2025: </w:t>
      </w:r>
      <w:r>
        <w:rPr>
          <w:rFonts w:ascii="Georgia" w:hAnsi="Georgia"/>
          <w:color w:val="2D3748"/>
          <w:sz w:val="19"/>
        </w:rPr>
        <w:t>Our groundbreaking paper 'Introducing and Analyzing the Fake Relationship Attack in Social IoT' has been accepted for presentation at the International Conference on Artificial Intelligence and Smart Digital Systems (AISDS 2025).</w:t>
      </w:r>
    </w:p>
    <w:p>
      <w:pPr>
        <w:pStyle w:val="ListBullet"/>
        <w:spacing w:before="0" w:after="60" w:line="276" w:lineRule="auto"/>
      </w:pPr>
      <w:r>
        <w:rPr>
          <w:rFonts w:ascii="Arial" w:hAnsi="Arial"/>
          <w:b/>
          <w:color w:val="1A202C"/>
          <w:sz w:val="19"/>
        </w:rPr>
        <w:t xml:space="preserve">[June 2025] IEEE WINCOM 2025 Publication: </w:t>
      </w:r>
      <w:r>
        <w:rPr>
          <w:rFonts w:ascii="Georgia" w:hAnsi="Georgia"/>
          <w:color w:val="2D3748"/>
          <w:sz w:val="19"/>
        </w:rPr>
        <w:t>Presented 'Zero Knowledge Proof in Vehicular Networks' at the IEEE International Conference on Wireless Networks and Mobile Communications (WINCOM 2025).</w:t>
      </w:r>
    </w:p>
    <w:p>
      <w:pPr>
        <w:pStyle w:val="ListBullet"/>
        <w:spacing w:before="0" w:after="60" w:line="276" w:lineRule="auto"/>
      </w:pPr>
      <w:r>
        <w:rPr>
          <w:rFonts w:ascii="Arial" w:hAnsi="Arial"/>
          <w:b/>
          <w:color w:val="1A202C"/>
          <w:sz w:val="19"/>
        </w:rPr>
        <w:t xml:space="preserve">[April 2025] ACDSA 2025 Presentation: </w:t>
      </w:r>
      <w:r>
        <w:rPr>
          <w:rFonts w:ascii="Georgia" w:hAnsi="Georgia"/>
          <w:color w:val="2D3748"/>
          <w:sz w:val="19"/>
        </w:rPr>
        <w:t>Published 'The Hidden Threat: Analyzing Trust Manipulation Attacks in Trust Management Systems for Vehicular Networks' at ACDSA 2025.</w:t>
      </w:r>
    </w:p>
    <w:p>
      <w:pPr>
        <w:pStyle w:val="ListBullet"/>
        <w:spacing w:before="0" w:after="60" w:line="276" w:lineRule="auto"/>
      </w:pPr>
      <w:r>
        <w:rPr>
          <w:rFonts w:ascii="Arial" w:hAnsi="Arial"/>
          <w:b/>
          <w:color w:val="1A202C"/>
          <w:sz w:val="19"/>
        </w:rPr>
        <w:t xml:space="preserve">[2024] Dual Conference Breakthroughs: </w:t>
      </w:r>
      <w:r>
        <w:rPr>
          <w:rFonts w:ascii="Georgia" w:hAnsi="Georgia"/>
          <w:color w:val="2D3748"/>
          <w:sz w:val="19"/>
        </w:rPr>
        <w:t>Presented adaptive vehicular thresholding at Springer BDIoT 2024 and machine learning TMA detection at ICDS 2024 in Nice, France.</w:t>
      </w:r>
    </w:p>
    <w:p>
      <w:pPr>
        <w:pStyle w:val="Heading1"/>
        <w:keepNext/>
        <w:spacing w:before="360" w:after="160"/>
      </w:pPr>
      <w:r>
        <w:rPr>
          <w:rFonts w:ascii="Arial" w:hAnsi="Arial"/>
          <w:b/>
          <w:color w:val="0F294A"/>
          <w:sz w:val="32"/>
        </w:rPr>
        <w:t>3. Page 2 Specification: Research Interests &amp; Technical Pillars</w:t>
      </w:r>
    </w:p>
    <w:p>
      <w:pPr>
        <w:spacing w:before="0" w:after="120" w:line="276" w:lineRule="auto"/>
      </w:pPr>
      <w:r>
        <w:rPr>
          <w:rFonts w:ascii="Georgia" w:hAnsi="Georgia"/>
          <w:i w:val="0"/>
          <w:color w:val="2D3748"/>
          <w:sz w:val="20"/>
        </w:rPr>
        <w:t>This page highlights the 5 intellectual pillars of Mohcine's doctoral research, providing deep conceptual clarity for reviewers and collaborators.</w:t>
      </w:r>
    </w:p>
    <w:p>
      <w:pPr>
        <w:pStyle w:val="Heading2"/>
        <w:keepNext/>
        <w:spacing w:before="280" w:after="120"/>
      </w:pPr>
      <w:r>
        <w:rPr>
          <w:rFonts w:ascii="Arial" w:hAnsi="Arial"/>
          <w:b/>
          <w:color w:val="1A365D"/>
          <w:sz w:val="26"/>
        </w:rPr>
        <w:t>Pillar 1: Social Internet of Things (SIoT) &amp; Decentralized Trust Management</w:t>
      </w:r>
    </w:p>
    <w:p>
      <w:pPr>
        <w:spacing w:before="0" w:after="120" w:line="276" w:lineRule="auto"/>
      </w:pPr>
      <w:r>
        <w:rPr>
          <w:rFonts w:ascii="Georgia" w:hAnsi="Georgia"/>
          <w:i w:val="0"/>
          <w:color w:val="2D3748"/>
          <w:sz w:val="20"/>
        </w:rPr>
        <w:t>Focuses on how autonomous edge devices establish and navigate social relationships—such as Parental Object Relationship (POR), Ownership Object Relationship (OOR), Co-Location Object Relationship (CLOR), Co-Work Object Relationship (CWOR), and Social Object Relationship (SOR)—to discover services and autonomously verify peer dependability without centralized cloud arbiters.</w:t>
      </w:r>
    </w:p>
    <w:p>
      <w:pPr>
        <w:pStyle w:val="Heading2"/>
        <w:keepNext/>
        <w:spacing w:before="280" w:after="120"/>
      </w:pPr>
      <w:r>
        <w:rPr>
          <w:rFonts w:ascii="Arial" w:hAnsi="Arial"/>
          <w:b/>
          <w:color w:val="1A365D"/>
          <w:sz w:val="26"/>
        </w:rPr>
        <w:t>Pillar 2: Adversarial Threat Modeling &amp; Relationship-Layer Attacks</w:t>
      </w:r>
    </w:p>
    <w:p>
      <w:pPr>
        <w:spacing w:before="0" w:after="120" w:line="276" w:lineRule="auto"/>
      </w:pPr>
      <w:r>
        <w:rPr>
          <w:rFonts w:ascii="Georgia" w:hAnsi="Georgia"/>
          <w:i w:val="0"/>
          <w:color w:val="2D3748"/>
          <w:sz w:val="20"/>
        </w:rPr>
        <w:t>Pioneering threat models against attacks targeting the social trust fabric rather than device hardware. Key attack vectors investigated include Fake Relationship Attacks (FRA), multi-hop recommendation collusion rings, Trust Manipulation Attacks (TMA), on-off behavioral oscillations, and camouflage exploitation.</w:t>
      </w:r>
    </w:p>
    <w:p>
      <w:pPr>
        <w:pStyle w:val="Heading2"/>
        <w:keepNext/>
        <w:spacing w:before="280" w:after="120"/>
      </w:pPr>
      <w:r>
        <w:rPr>
          <w:rFonts w:ascii="Arial" w:hAnsi="Arial"/>
          <w:b/>
          <w:color w:val="1A365D"/>
          <w:sz w:val="26"/>
        </w:rPr>
        <w:t>Pillar 3: Continuous-Time Graph Deep Learning &amp; Relational Attention</w:t>
      </w:r>
    </w:p>
    <w:p>
      <w:pPr>
        <w:spacing w:before="0" w:after="120" w:line="276" w:lineRule="auto"/>
      </w:pPr>
      <w:r>
        <w:rPr>
          <w:rFonts w:ascii="Georgia" w:hAnsi="Georgia"/>
          <w:i w:val="0"/>
          <w:color w:val="2D3748"/>
          <w:sz w:val="20"/>
        </w:rPr>
        <w:t>Developing neural trust architectures capable of processing irregular, asynchronous edge interaction streams. Leveraging Continuous-Time Dynamic Graphs (CTDG), Multi-Head Self-Attention, and Temporal Graph Networks (TGN) to detect long-delay behavioral defections and adversarial GAN temporal mimicry.</w:t>
      </w:r>
    </w:p>
    <w:p>
      <w:pPr>
        <w:pStyle w:val="Heading2"/>
        <w:keepNext/>
        <w:spacing w:before="280" w:after="120"/>
      </w:pPr>
      <w:r>
        <w:rPr>
          <w:rFonts w:ascii="Arial" w:hAnsi="Arial"/>
          <w:b/>
          <w:color w:val="1A365D"/>
          <w:sz w:val="26"/>
        </w:rPr>
        <w:t>Pillar 4: Privacy-Preserving Cryptographic Verification (Zero-Knowledge Proofs)</w:t>
      </w:r>
    </w:p>
    <w:p>
      <w:pPr>
        <w:spacing w:before="0" w:after="120" w:line="276" w:lineRule="auto"/>
      </w:pPr>
      <w:r>
        <w:rPr>
          <w:rFonts w:ascii="Georgia" w:hAnsi="Georgia"/>
          <w:i w:val="0"/>
          <w:color w:val="2D3748"/>
          <w:sz w:val="20"/>
        </w:rPr>
        <w:t>Resolving the privacy-trust dilemma in mobile and vehicular environments. Implementing Non-Interactive Zero-Knowledge Proofs of Knowledge (zk-SNARKs using Groth16 / BN254) enabling constrained nodes to prove their trust score meets a required threshold (T_i &gt;= tau) without leaking device identities, past transactions, or location trajectories.</w:t>
      </w:r>
    </w:p>
    <w:p>
      <w:pPr>
        <w:pStyle w:val="Heading2"/>
        <w:keepNext/>
        <w:spacing w:before="280" w:after="120"/>
      </w:pPr>
      <w:r>
        <w:rPr>
          <w:rFonts w:ascii="Arial" w:hAnsi="Arial"/>
          <w:b/>
          <w:color w:val="1A365D"/>
          <w:sz w:val="26"/>
        </w:rPr>
        <w:t>Pillar 5: Resilient Social Rehabilitation &amp; Zero-Evidence Cold-Start Bootstrapping</w:t>
      </w:r>
    </w:p>
    <w:p>
      <w:pPr>
        <w:spacing w:before="0" w:after="120" w:line="276" w:lineRule="auto"/>
      </w:pPr>
      <w:r>
        <w:rPr>
          <w:rFonts w:ascii="Georgia" w:hAnsi="Georgia"/>
          <w:i w:val="0"/>
          <w:color w:val="2D3748"/>
          <w:sz w:val="20"/>
        </w:rPr>
        <w:t>Eliminating the 'trust isolation deadlock' where benign devices with transient network dropouts become permanently quarantined. Designing temporal-gated rehabilitation protocols with sequential burst gating, and utilizing inductive Knowledge Graph priors to safely initialize newly deployed IoT devices with zero interaction history.</w:t>
      </w:r>
    </w:p>
    <w:p>
      <w:pPr>
        <w:pStyle w:val="Heading1"/>
        <w:keepNext/>
        <w:spacing w:before="360" w:after="160"/>
      </w:pPr>
      <w:r>
        <w:rPr>
          <w:rFonts w:ascii="Arial" w:hAnsi="Arial"/>
          <w:b/>
          <w:color w:val="0F294A"/>
          <w:sz w:val="32"/>
        </w:rPr>
        <w:t>4. Page 3 Specification: Publications &amp; Scientific Works</w:t>
      </w:r>
    </w:p>
    <w:p>
      <w:pPr>
        <w:spacing w:before="0" w:after="120" w:line="276" w:lineRule="auto"/>
      </w:pPr>
      <w:r>
        <w:rPr>
          <w:rFonts w:ascii="Georgia" w:hAnsi="Georgia"/>
          <w:i w:val="0"/>
          <w:color w:val="2D3748"/>
          <w:sz w:val="20"/>
        </w:rPr>
        <w:t>This section contains the comprehensive bibliographic records, abstracts, key contributions, and BibTeX entries for all of Mohcine Baalla's published papers, accepted proceedings, and advanced pipeline manuscripts. Each item is ready for rendering as an interactive publication card on the website.</w:t>
      </w:r>
    </w:p>
    <w:p>
      <w:pPr>
        <w:pStyle w:val="Heading2"/>
        <w:keepNext/>
        <w:spacing w:before="280" w:after="120"/>
      </w:pPr>
      <w:r>
        <w:rPr>
          <w:rFonts w:ascii="Arial" w:hAnsi="Arial"/>
          <w:b/>
          <w:color w:val="1A365D"/>
          <w:sz w:val="26"/>
        </w:rPr>
        <w:t>4.1 Peer-Reviewed International Journal Articles (Published)</w:t>
      </w:r>
    </w:p>
    <w:p>
      <w:pPr>
        <w:spacing w:before="0" w:after="120" w:line="276" w:lineRule="auto"/>
      </w:pPr>
      <w:r>
        <w:rPr>
          <w:rFonts w:ascii="Arial" w:hAnsi="Arial"/>
          <w:b/>
          <w:color w:val="1A202C"/>
          <w:sz w:val="20"/>
        </w:rPr>
        <w:t xml:space="preserve">Title: </w:t>
      </w:r>
      <w:r>
        <w:rPr>
          <w:rFonts w:ascii="Georgia" w:hAnsi="Georgia"/>
          <w:i w:val="0"/>
          <w:color w:val="2D3748"/>
          <w:sz w:val="20"/>
        </w:rPr>
        <w:t>A Semantic-Gated Structural Diversity Penalty to Mitigate Orchestrated Recommendation Attacks in the SIoT</w:t>
      </w:r>
    </w:p>
    <w:p>
      <w:pPr>
        <w:spacing w:before="0" w:after="120" w:line="276" w:lineRule="auto"/>
      </w:pPr>
      <w:r>
        <w:rPr>
          <w:rFonts w:ascii="Arial" w:hAnsi="Arial"/>
          <w:b/>
          <w:color w:val="1A202C"/>
          <w:sz w:val="20"/>
        </w:rPr>
        <w:t xml:space="preserve">Authors &amp; Venue: </w:t>
      </w:r>
      <w:r>
        <w:rPr>
          <w:rFonts w:ascii="Georgia" w:hAnsi="Georgia"/>
          <w:i/>
          <w:color w:val="2D3748"/>
          <w:sz w:val="20"/>
        </w:rPr>
        <w:t>Mohcine Baalla and Driss Bouzidi. Journal of Cybersecurity and Privacy (MDPI), Vol. 6, Issue 5, Article 168, pp. 1–22, 2026. DOI: 10.3390/jcp6050168</w:t>
      </w:r>
    </w:p>
    <w:p>
      <w:pPr>
        <w:spacing w:before="0" w:after="120" w:line="276" w:lineRule="auto"/>
      </w:pPr>
      <w:r>
        <w:rPr>
          <w:rFonts w:ascii="Arial" w:hAnsi="Arial"/>
          <w:b/>
          <w:color w:val="1A202C"/>
          <w:sz w:val="20"/>
        </w:rPr>
        <w:t xml:space="preserve">Status Badge: </w:t>
      </w:r>
      <w:r>
        <w:rPr>
          <w:rFonts w:ascii="Georgia" w:hAnsi="Georgia"/>
          <w:i w:val="0"/>
          <w:color w:val="2D3748"/>
          <w:sz w:val="20"/>
        </w:rPr>
        <w:t>Published | International Journal | Scopus / Web of Science Indexed</w:t>
      </w:r>
    </w:p>
    <w:p>
      <w:pPr>
        <w:spacing w:before="0" w:after="120" w:line="276" w:lineRule="auto"/>
      </w:pPr>
      <w:r>
        <w:rPr>
          <w:rFonts w:ascii="Arial" w:hAnsi="Arial"/>
          <w:b/>
          <w:color w:val="1A202C"/>
          <w:sz w:val="20"/>
        </w:rPr>
        <w:t xml:space="preserve">Abstract: </w:t>
      </w:r>
      <w:r>
        <w:rPr>
          <w:rFonts w:ascii="Georgia" w:hAnsi="Georgia"/>
          <w:i w:val="0"/>
          <w:color w:val="2D3748"/>
          <w:sz w:val="20"/>
        </w:rPr>
        <w:t>The Social Internet of Things (SIoT) integrates social networking paradigms into smart physical devices, enabling autonomous service discovery, task delegation, and decentralized trust establishment through multi-hop recommendation chains. However, this social dimension exposes networks to severe structural collusion threats, notably Fake Relationship Attacks (FRA) where colluding adversaries establish synthetic social ties to form dense cliques that artificially inflate recommendation ratings and bypass conventional outlier filters. In this paper, we propose a localized, edge-native defense: the Semantic-Gated Structural Diversity Penalty (SDP). By evaluating the normalized entropy and topological diversity of an entity's 2-hop neighborhood, SDP imposes non-linear attenuation penalties on recommendations originating from socially closed echo chambers. Operating with localized O(k^2) complexity, the scheme eliminates the need for global graph traversal. Evaluated in Contiki-NG/Cooja over a 51-node enterprise SIoT topology running 6LoWPAN/RPL over IEEE 802.15.4 links, our approach achieves an F1-score of 0.986, a false positive rate of 0.006, and maintains 92.4% network Packet Delivery Ratio under 40% collusive attacker saturation.</w:t>
      </w:r>
    </w:p>
    <w:p>
      <w:pPr>
        <w:pStyle w:val="ListBullet"/>
        <w:spacing w:before="0" w:after="60" w:line="276" w:lineRule="auto"/>
      </w:pPr>
      <w:r>
        <w:rPr>
          <w:rFonts w:ascii="Georgia" w:hAnsi="Georgia"/>
          <w:color w:val="2D3748"/>
          <w:sz w:val="19"/>
        </w:rPr>
        <w:t>Formalized the echo-chamber vulnerability in multi-hop SIoT recommendation networks.</w:t>
      </w:r>
    </w:p>
    <w:p>
      <w:pPr>
        <w:pStyle w:val="ListBullet"/>
        <w:spacing w:before="0" w:after="60" w:line="276" w:lineRule="auto"/>
      </w:pPr>
      <w:r>
        <w:rPr>
          <w:rFonts w:ascii="Georgia" w:hAnsi="Georgia"/>
          <w:color w:val="2D3748"/>
          <w:sz w:val="19"/>
        </w:rPr>
        <w:t>Formulated the Structural Diversity Penalty (Delta_SDP) operating at edge-native O(k^2) local complexity.</w:t>
      </w:r>
    </w:p>
    <w:p>
      <w:pPr>
        <w:pStyle w:val="ListBullet"/>
        <w:spacing w:before="0" w:after="60" w:line="276" w:lineRule="auto"/>
      </w:pPr>
      <w:r>
        <w:rPr>
          <w:rFonts w:ascii="Georgia" w:hAnsi="Georgia"/>
          <w:color w:val="2D3748"/>
          <w:sz w:val="19"/>
        </w:rPr>
        <w:t>Demonstrated superior collusion mitigation (F1 = 0.986, FPR = 0.006) on cycle-accurate Contiki-NG/Cooja sensor hardware.</w:t>
      </w:r>
    </w:p>
    <w:p>
      <w:pPr>
        <w:spacing w:before="0" w:after="120" w:line="276" w:lineRule="auto"/>
      </w:pPr>
      <w:r>
        <w:rPr>
          <w:rFonts w:ascii="Arial" w:hAnsi="Arial"/>
          <w:b/>
          <w:color w:val="1A202C"/>
          <w:sz w:val="20"/>
        </w:rPr>
        <w:t xml:space="preserve">BibTeX Entry: </w:t>
      </w:r>
      <w:r>
        <w:rPr>
          <w:rFonts w:ascii="Georgia" w:hAnsi="Georgia"/>
          <w:i/>
          <w:color w:val="2D3748"/>
          <w:sz w:val="20"/>
        </w:rPr>
        <w:t>@article{baalla2026semantic,</w:t>
        <w:br/>
        <w:t xml:space="preserve">  author = {Baalla, Mohcine and Bouzidi, Driss},</w:t>
        <w:br/>
        <w:t xml:space="preserve">  title = {A Semantic-Gated Structural Diversity Penalty to Mitigate Orchestrated Recommendation Attacks in the SIoT},</w:t>
        <w:br/>
        <w:t xml:space="preserve">  journal = {Journal of Cybersecurity and Privacy},</w:t>
        <w:br/>
        <w:t xml:space="preserve">  volume = {6},</w:t>
        <w:br/>
        <w:t xml:space="preserve">  number = {5},</w:t>
        <w:br/>
        <w:t xml:space="preserve">  pages = {1--22},</w:t>
        <w:br/>
        <w:t xml:space="preserve">  year = {2026},</w:t>
        <w:br/>
        <w:t xml:space="preserve">  doi = {10.3390/jcp6050168}</w:t>
        <w:br/>
        <w:t>}</w:t>
      </w:r>
    </w:p>
    <w:p>
      <w:pPr>
        <w:pStyle w:val="Heading2"/>
        <w:keepNext/>
        <w:spacing w:before="280" w:after="120"/>
      </w:pPr>
      <w:r>
        <w:rPr>
          <w:rFonts w:ascii="Arial" w:hAnsi="Arial"/>
          <w:b/>
          <w:color w:val="1A365D"/>
          <w:sz w:val="26"/>
        </w:rPr>
        <w:t>4.2 Accepted International Conference Proceedings (In Press)</w:t>
      </w:r>
    </w:p>
    <w:p>
      <w:pPr>
        <w:spacing w:before="0" w:after="120" w:line="276" w:lineRule="auto"/>
      </w:pPr>
      <w:r>
        <w:rPr>
          <w:rFonts w:ascii="Arial" w:hAnsi="Arial"/>
          <w:b/>
          <w:color w:val="1A202C"/>
          <w:sz w:val="20"/>
        </w:rPr>
        <w:t xml:space="preserve">Title: </w:t>
      </w:r>
      <w:r>
        <w:rPr>
          <w:rFonts w:ascii="Georgia" w:hAnsi="Georgia"/>
          <w:i w:val="0"/>
          <w:color w:val="2D3748"/>
          <w:sz w:val="20"/>
        </w:rPr>
        <w:t>Introducing and Analyzing the Fake Relationship Attack in Social IoT</w:t>
      </w:r>
    </w:p>
    <w:p>
      <w:pPr>
        <w:spacing w:before="0" w:after="120" w:line="276" w:lineRule="auto"/>
      </w:pPr>
      <w:r>
        <w:rPr>
          <w:rFonts w:ascii="Arial" w:hAnsi="Arial"/>
          <w:b/>
          <w:color w:val="1A202C"/>
          <w:sz w:val="20"/>
        </w:rPr>
        <w:t xml:space="preserve">Authors &amp; Venue: </w:t>
      </w:r>
      <w:r>
        <w:rPr>
          <w:rFonts w:ascii="Georgia" w:hAnsi="Georgia"/>
          <w:i/>
          <w:color w:val="2D3748"/>
          <w:sz w:val="20"/>
        </w:rPr>
        <w:t>Mohcine Baalla and Driss Bouzidi. Proceedings of the International Conference on Artificial Intelligence and Smart Digital Systems (AISDS 2025), Springer LNNS, 2025</w:t>
      </w:r>
    </w:p>
    <w:p>
      <w:pPr>
        <w:spacing w:before="0" w:after="120" w:line="276" w:lineRule="auto"/>
      </w:pPr>
      <w:r>
        <w:rPr>
          <w:rFonts w:ascii="Arial" w:hAnsi="Arial"/>
          <w:b/>
          <w:color w:val="1A202C"/>
          <w:sz w:val="20"/>
        </w:rPr>
        <w:t xml:space="preserve">Status Badge: </w:t>
      </w:r>
      <w:r>
        <w:rPr>
          <w:rFonts w:ascii="Georgia" w:hAnsi="Georgia"/>
          <w:i w:val="0"/>
          <w:color w:val="2D3748"/>
          <w:sz w:val="20"/>
        </w:rPr>
        <w:t>Accepted &amp; Registered | In Press | Springer LNNS</w:t>
      </w:r>
    </w:p>
    <w:p>
      <w:pPr>
        <w:spacing w:before="0" w:after="120" w:line="276" w:lineRule="auto"/>
      </w:pPr>
      <w:r>
        <w:rPr>
          <w:rFonts w:ascii="Arial" w:hAnsi="Arial"/>
          <w:b/>
          <w:color w:val="1A202C"/>
          <w:sz w:val="20"/>
        </w:rPr>
        <w:t xml:space="preserve">Abstract: </w:t>
      </w:r>
      <w:r>
        <w:rPr>
          <w:rFonts w:ascii="Georgia" w:hAnsi="Georgia"/>
          <w:i w:val="0"/>
          <w:color w:val="2D3748"/>
          <w:sz w:val="20"/>
        </w:rPr>
        <w:t>The Social Internet of Things (SIoT) extends traditional IoT by enabling devices to form autonomous social ties inspired by human relationships (ownership, co-location, co-work, and friendship). While these social connections enhance efficiency and service discovery, they introduce an expanded attack surface targeting the social trust layer. In this paper, we formally introduce and analyze the Fake Relationship Attack (FRA), a novel SIoT-specific threat where malicious devices forge or manipulate social ties to illegitimately inherit trust, elevate privileges, or gain unauthorized access. We analyze the adversary's capabilities, including Sybil creation, friend-of-a-friend exploitation, and strategic temporal manipulation. Through realistic Contiki-NG/Cooja simulations, we show how FRA subverts trust propagation, causing catastrophic network trust degradation while conventional IoT security mechanisms focused on device integrity or communication encryption fail to detect a single fraudulent relationship. This work establishes the formal foundation for relationship-based threat modeling in SIoT.</w:t>
      </w:r>
    </w:p>
    <w:p>
      <w:pPr>
        <w:pStyle w:val="ListBullet"/>
        <w:spacing w:before="0" w:after="60" w:line="276" w:lineRule="auto"/>
      </w:pPr>
      <w:r>
        <w:rPr>
          <w:rFonts w:ascii="Georgia" w:hAnsi="Georgia"/>
          <w:color w:val="2D3748"/>
          <w:sz w:val="19"/>
        </w:rPr>
        <w:t>First formal characterization and taxonomy of the Fake Relationship Attack (FRA) in SIoT.</w:t>
      </w:r>
    </w:p>
    <w:p>
      <w:pPr>
        <w:pStyle w:val="ListBullet"/>
        <w:spacing w:before="0" w:after="60" w:line="276" w:lineRule="auto"/>
      </w:pPr>
      <w:r>
        <w:rPr>
          <w:rFonts w:ascii="Georgia" w:hAnsi="Georgia"/>
          <w:color w:val="2D3748"/>
          <w:sz w:val="19"/>
        </w:rPr>
        <w:t>Detailed threat model of friend-of-a-friend transitive trust manipulation.</w:t>
      </w:r>
    </w:p>
    <w:p>
      <w:pPr>
        <w:pStyle w:val="ListBullet"/>
        <w:spacing w:before="0" w:after="60" w:line="276" w:lineRule="auto"/>
      </w:pPr>
      <w:r>
        <w:rPr>
          <w:rFonts w:ascii="Georgia" w:hAnsi="Georgia"/>
          <w:color w:val="2D3748"/>
          <w:sz w:val="19"/>
        </w:rPr>
        <w:t>Empirical simulation in Cooja proving that physical link-layer cryptography fails against social graph attacks.</w:t>
      </w:r>
    </w:p>
    <w:p>
      <w:pPr>
        <w:spacing w:before="0" w:after="120" w:line="276" w:lineRule="auto"/>
      </w:pPr>
      <w:r>
        <w:rPr>
          <w:rFonts w:ascii="Arial" w:hAnsi="Arial"/>
          <w:b/>
          <w:color w:val="1A202C"/>
          <w:sz w:val="20"/>
        </w:rPr>
        <w:t xml:space="preserve">BibTeX Entry: </w:t>
      </w:r>
      <w:r>
        <w:rPr>
          <w:rFonts w:ascii="Georgia" w:hAnsi="Georgia"/>
          <w:i/>
          <w:color w:val="2D3748"/>
          <w:sz w:val="20"/>
        </w:rPr>
        <w:t>@inproceedings{baalla2025introducing,</w:t>
        <w:br/>
        <w:t xml:space="preserve">  author = {Baalla, Mohcine and Bouzidi, Driss},</w:t>
        <w:br/>
        <w:t xml:space="preserve">  title = {Introducing and Analyzing the Fake Relationship Attack in Social IoT},</w:t>
        <w:br/>
        <w:t xml:space="preserve">  booktitle = {Proceedings of the International Conference on Artificial Intelligence and Smart Digital Systems (AISDS 2025)},</w:t>
        <w:br/>
        <w:t xml:space="preserve">  series = {Lecture Notes in Networks and Systems},</w:t>
        <w:br/>
        <w:t xml:space="preserve">  publisher = {Springer},</w:t>
        <w:br/>
        <w:t xml:space="preserve">  year = {2025},</w:t>
        <w:br/>
        <w:t xml:space="preserve">  note = {Accepted and In Press}</w:t>
        <w:br/>
        <w:t>}</w:t>
      </w:r>
    </w:p>
    <w:p>
      <w:pPr>
        <w:pStyle w:val="Heading2"/>
        <w:keepNext/>
        <w:spacing w:before="280" w:after="120"/>
      </w:pPr>
      <w:r>
        <w:rPr>
          <w:rFonts w:ascii="Arial" w:hAnsi="Arial"/>
          <w:b/>
          <w:color w:val="1A365D"/>
          <w:sz w:val="26"/>
        </w:rPr>
        <w:t>4.3 Published International Conference Papers</w:t>
      </w:r>
    </w:p>
    <w:p>
      <w:pPr>
        <w:spacing w:before="0" w:after="120" w:line="276" w:lineRule="auto"/>
      </w:pPr>
      <w:r>
        <w:rPr>
          <w:rFonts w:ascii="Arial" w:hAnsi="Arial"/>
          <w:b/>
          <w:color w:val="1A202C"/>
          <w:sz w:val="20"/>
        </w:rPr>
        <w:t xml:space="preserve">Title: </w:t>
      </w:r>
      <w:r>
        <w:rPr>
          <w:rFonts w:ascii="Georgia" w:hAnsi="Georgia"/>
          <w:i w:val="0"/>
          <w:color w:val="2D3748"/>
          <w:sz w:val="20"/>
        </w:rPr>
        <w:t>Zero Knowledge Proof in Vehicular Networks</w:t>
      </w:r>
    </w:p>
    <w:p>
      <w:pPr>
        <w:spacing w:before="0" w:after="120" w:line="276" w:lineRule="auto"/>
      </w:pPr>
      <w:r>
        <w:rPr>
          <w:rFonts w:ascii="Arial" w:hAnsi="Arial"/>
          <w:b/>
          <w:color w:val="1A202C"/>
          <w:sz w:val="20"/>
        </w:rPr>
        <w:t xml:space="preserve">Authors &amp; Venue: </w:t>
      </w:r>
      <w:r>
        <w:rPr>
          <w:rFonts w:ascii="Georgia" w:hAnsi="Georgia"/>
          <w:i/>
          <w:color w:val="2D3748"/>
          <w:sz w:val="20"/>
        </w:rPr>
        <w:t>Mohcine Baalla and Driss Bouzidi. Proceedings of the IEEE International Conference on Wireless Networks and Mobile Communications (WINCOM 2025), IEEE, 2025</w:t>
      </w:r>
    </w:p>
    <w:p>
      <w:pPr>
        <w:spacing w:before="0" w:after="120" w:line="276" w:lineRule="auto"/>
      </w:pPr>
      <w:r>
        <w:rPr>
          <w:rFonts w:ascii="Arial" w:hAnsi="Arial"/>
          <w:b/>
          <w:color w:val="1A202C"/>
          <w:sz w:val="20"/>
        </w:rPr>
        <w:t xml:space="preserve">Status Badge: </w:t>
      </w:r>
      <w:r>
        <w:rPr>
          <w:rFonts w:ascii="Georgia" w:hAnsi="Georgia"/>
          <w:i w:val="0"/>
          <w:color w:val="2D3748"/>
          <w:sz w:val="20"/>
        </w:rPr>
        <w:t>Published | IEEE Xplore | IEEE Conference</w:t>
      </w:r>
    </w:p>
    <w:p>
      <w:pPr>
        <w:spacing w:before="0" w:after="120" w:line="276" w:lineRule="auto"/>
      </w:pPr>
      <w:r>
        <w:rPr>
          <w:rFonts w:ascii="Arial" w:hAnsi="Arial"/>
          <w:b/>
          <w:color w:val="1A202C"/>
          <w:sz w:val="20"/>
        </w:rPr>
        <w:t xml:space="preserve">Abstract: </w:t>
      </w:r>
      <w:r>
        <w:rPr>
          <w:rFonts w:ascii="Georgia" w:hAnsi="Georgia"/>
          <w:i w:val="0"/>
          <w:color w:val="2D3748"/>
          <w:sz w:val="20"/>
        </w:rPr>
        <w:t>In connected vehicular environments and the Social Internet of Vehicles (SIoV), cooperative driving and road safety rely on sharing trustworthiness metrics among communicating vehicles (OBUs) and Roadside Units (RSUs). However, transmitting raw reputation histories, transaction logs, or device credentials introduces severe privacy risks, including trajectory tracking and identity theft. This paper proposes a privacy-preserving authentication and trust verification scheme using Non-Interactive Zero-Knowledge Proofs of Knowledge (zk-SNARKs). Constrained vehicular nodes generate cryptographic proofs demonstrating that their trust score satisfies an application-defined threshold (T_i &gt;= tau) without disclosing their exact score, historical logs, or vehicle identity. Cryptographic benchmarks show proof generation under 42 ms and verification under 3.2 ms on edge vehicular hardware.</w:t>
      </w:r>
    </w:p>
    <w:p>
      <w:pPr>
        <w:spacing w:before="0" w:after="120" w:line="276" w:lineRule="auto"/>
      </w:pPr>
      <w:r>
        <w:rPr>
          <w:rFonts w:ascii="Arial" w:hAnsi="Arial"/>
          <w:b/>
          <w:color w:val="1A202C"/>
          <w:sz w:val="20"/>
        </w:rPr>
        <w:t xml:space="preserve">BibTeX Entry: </w:t>
      </w:r>
      <w:r>
        <w:rPr>
          <w:rFonts w:ascii="Georgia" w:hAnsi="Georgia"/>
          <w:i/>
          <w:color w:val="2D3748"/>
          <w:sz w:val="20"/>
        </w:rPr>
        <w:t>@inproceedings{baalla2025zkp,</w:t>
        <w:br/>
        <w:t xml:space="preserve">  author = {Baalla, Mohcine and Bouzidi, Driss},</w:t>
        <w:br/>
        <w:t xml:space="preserve">  title = {Zero Knowledge Proof in Vehicular Networks},</w:t>
        <w:br/>
        <w:t xml:space="preserve">  booktitle = {Proceedings of the IEEE International Conference on Wireless Networks and Mobile Communications (WINCOM 2025)},</w:t>
        <w:br/>
        <w:t xml:space="preserve">  publisher = {IEEE},</w:t>
        <w:br/>
        <w:t xml:space="preserve">  year = {2025},</w:t>
        <w:br/>
        <w:t xml:space="preserve">  doi = {10.1109/WINCOM65123.2025.10912}</w:t>
        <w:br/>
        <w:t>}</w:t>
      </w:r>
    </w:p>
    <w:p>
      <w:pPr>
        <w:spacing w:before="0" w:after="120" w:line="276" w:lineRule="auto"/>
      </w:pPr>
      <w:r>
        <w:rPr>
          <w:rFonts w:ascii="Arial" w:hAnsi="Arial"/>
          <w:b/>
          <w:color w:val="1A202C"/>
          <w:sz w:val="20"/>
        </w:rPr>
        <w:t xml:space="preserve">Title: </w:t>
      </w:r>
      <w:r>
        <w:rPr>
          <w:rFonts w:ascii="Georgia" w:hAnsi="Georgia"/>
          <w:i w:val="0"/>
          <w:color w:val="2D3748"/>
          <w:sz w:val="20"/>
        </w:rPr>
        <w:t>The Hidden Threat: Analyzing Trust Manipulation Attacks in Trust Management Systems for Vehicular Networks</w:t>
      </w:r>
    </w:p>
    <w:p>
      <w:pPr>
        <w:spacing w:before="0" w:after="120" w:line="276" w:lineRule="auto"/>
      </w:pPr>
      <w:r>
        <w:rPr>
          <w:rFonts w:ascii="Arial" w:hAnsi="Arial"/>
          <w:b/>
          <w:color w:val="1A202C"/>
          <w:sz w:val="20"/>
        </w:rPr>
        <w:t xml:space="preserve">Authors &amp; Venue: </w:t>
      </w:r>
      <w:r>
        <w:rPr>
          <w:rFonts w:ascii="Georgia" w:hAnsi="Georgia"/>
          <w:i/>
          <w:color w:val="2D3748"/>
          <w:sz w:val="20"/>
        </w:rPr>
        <w:t>Mohcine Baalla and Driss Bouzidi. Proceedings of the International Conference on Artificial Intelligence, Computer, Data Sciences and Applications (ACDSA 2025), 2025</w:t>
      </w:r>
    </w:p>
    <w:p>
      <w:pPr>
        <w:spacing w:before="0" w:after="120" w:line="276" w:lineRule="auto"/>
      </w:pPr>
      <w:r>
        <w:rPr>
          <w:rFonts w:ascii="Arial" w:hAnsi="Arial"/>
          <w:b/>
          <w:color w:val="1A202C"/>
          <w:sz w:val="20"/>
        </w:rPr>
        <w:t xml:space="preserve">Status Badge: </w:t>
      </w:r>
      <w:r>
        <w:rPr>
          <w:rFonts w:ascii="Georgia" w:hAnsi="Georgia"/>
          <w:i w:val="0"/>
          <w:color w:val="2D3748"/>
          <w:sz w:val="20"/>
        </w:rPr>
        <w:t>Published | Indexed International Conference</w:t>
      </w:r>
    </w:p>
    <w:p>
      <w:pPr>
        <w:spacing w:before="0" w:after="120" w:line="276" w:lineRule="auto"/>
      </w:pPr>
      <w:r>
        <w:rPr>
          <w:rFonts w:ascii="Arial" w:hAnsi="Arial"/>
          <w:b/>
          <w:color w:val="1A202C"/>
          <w:sz w:val="20"/>
        </w:rPr>
        <w:t xml:space="preserve">Abstract: </w:t>
      </w:r>
      <w:r>
        <w:rPr>
          <w:rFonts w:ascii="Georgia" w:hAnsi="Georgia"/>
          <w:i w:val="0"/>
          <w:color w:val="2D3748"/>
          <w:sz w:val="20"/>
        </w:rPr>
        <w:t>Trust Management Systems (TMS) are critical for securing Vehicular Ad-Hoc Networks (VANETs), but they remain highly vulnerable to strategic Trust Manipulation Attacks (TMA). In this work, we conduct an analytical and empirical investigation of TMA mechanics, examining how attackers alternate between benevolent packet forwarding and selective data poisoning to hover above quarantine thresholds. We demonstrate the vulnerability of classical exponential trust decay curves, which inadvertently reward adversaries who strategically time their malicious defections.</w:t>
      </w:r>
    </w:p>
    <w:p>
      <w:pPr>
        <w:spacing w:before="0" w:after="120" w:line="276" w:lineRule="auto"/>
      </w:pPr>
      <w:r>
        <w:rPr>
          <w:rFonts w:ascii="Arial" w:hAnsi="Arial"/>
          <w:b/>
          <w:color w:val="1A202C"/>
          <w:sz w:val="20"/>
        </w:rPr>
        <w:t xml:space="preserve">BibTeX Entry: </w:t>
      </w:r>
      <w:r>
        <w:rPr>
          <w:rFonts w:ascii="Georgia" w:hAnsi="Georgia"/>
          <w:i/>
          <w:color w:val="2D3748"/>
          <w:sz w:val="20"/>
        </w:rPr>
        <w:t>@inproceedings{baalla2025hidden,</w:t>
        <w:br/>
        <w:t xml:space="preserve">  author = {Baalla, Mohcine and Bouzidi, Driss},</w:t>
        <w:br/>
        <w:t xml:space="preserve">  title = {The Hidden Threat: Analyzing Trust Manipulation Attacks in Trust Management Systems for Vehicular Networks},</w:t>
        <w:br/>
        <w:t xml:space="preserve">  booktitle = {Proceedings of the International Conference on Artificial Intelligence, Computer, Data Sciences and Applications (ACDSA 2025)},</w:t>
        <w:br/>
        <w:t xml:space="preserve">  year = {2025},</w:t>
        <w:br/>
        <w:t xml:space="preserve">  doi = {ACDSA.2025.10521}</w:t>
        <w:br/>
        <w:t>}</w:t>
      </w:r>
    </w:p>
    <w:p>
      <w:pPr>
        <w:spacing w:before="0" w:after="120" w:line="276" w:lineRule="auto"/>
      </w:pPr>
      <w:r>
        <w:rPr>
          <w:rFonts w:ascii="Arial" w:hAnsi="Arial"/>
          <w:b/>
          <w:color w:val="1A202C"/>
          <w:sz w:val="20"/>
        </w:rPr>
        <w:t xml:space="preserve">Title: </w:t>
      </w:r>
      <w:r>
        <w:rPr>
          <w:rFonts w:ascii="Georgia" w:hAnsi="Georgia"/>
          <w:i w:val="0"/>
          <w:color w:val="2D3748"/>
          <w:sz w:val="20"/>
        </w:rPr>
        <w:t>New Detection Approach Against Trust Manipulation Attack in VANET</w:t>
      </w:r>
    </w:p>
    <w:p>
      <w:pPr>
        <w:spacing w:before="0" w:after="120" w:line="276" w:lineRule="auto"/>
      </w:pPr>
      <w:r>
        <w:rPr>
          <w:rFonts w:ascii="Arial" w:hAnsi="Arial"/>
          <w:b/>
          <w:color w:val="1A202C"/>
          <w:sz w:val="20"/>
        </w:rPr>
        <w:t xml:space="preserve">Authors &amp; Venue: </w:t>
      </w:r>
      <w:r>
        <w:rPr>
          <w:rFonts w:ascii="Georgia" w:hAnsi="Georgia"/>
          <w:i/>
          <w:color w:val="2D3748"/>
          <w:sz w:val="20"/>
        </w:rPr>
        <w:t>Baalla Mohcine and Bouzidi Driss. Proceedings of the 6th International Conference on Big Data, IoT, and Cloud Computing (BDIoT 2024), Springer Lecture Notes in Networks and Systems (LNNS), 2024</w:t>
      </w:r>
    </w:p>
    <w:p>
      <w:pPr>
        <w:spacing w:before="0" w:after="120" w:line="276" w:lineRule="auto"/>
      </w:pPr>
      <w:r>
        <w:rPr>
          <w:rFonts w:ascii="Arial" w:hAnsi="Arial"/>
          <w:b/>
          <w:color w:val="1A202C"/>
          <w:sz w:val="20"/>
        </w:rPr>
        <w:t xml:space="preserve">Status Badge: </w:t>
      </w:r>
      <w:r>
        <w:rPr>
          <w:rFonts w:ascii="Georgia" w:hAnsi="Georgia"/>
          <w:i w:val="0"/>
          <w:color w:val="2D3748"/>
          <w:sz w:val="20"/>
        </w:rPr>
        <w:t>Published | Springer LNNS</w:t>
      </w:r>
    </w:p>
    <w:p>
      <w:pPr>
        <w:spacing w:before="0" w:after="120" w:line="276" w:lineRule="auto"/>
      </w:pPr>
      <w:r>
        <w:rPr>
          <w:rFonts w:ascii="Arial" w:hAnsi="Arial"/>
          <w:b/>
          <w:color w:val="1A202C"/>
          <w:sz w:val="20"/>
        </w:rPr>
        <w:t xml:space="preserve">Abstract: </w:t>
      </w:r>
      <w:r>
        <w:rPr>
          <w:rFonts w:ascii="Georgia" w:hAnsi="Georgia"/>
          <w:i w:val="0"/>
          <w:color w:val="2D3748"/>
          <w:sz w:val="20"/>
        </w:rPr>
        <w:t>Vehicular Ad-Hoc Networks (VANETs) face recurring trust challenges due to high node mobility, dynamic topologies, and intermittent wireless disconnections. Malicious nodes exploit these conditions through Trust Manipulation Attacks (TMA), disguising hostile behavioral oscillations behind natural channel packet drops. We propose an adaptive trust threshold mechanism that dynamically calibrates detection sensitivity based on vehicular velocity, neighborhood density, and channel loss ratios, coupled with a machine learning classifier. Co-simulations using OMNeT++, Veins, and SUMO demonstrate a 38.2% reduction in false alarms and 96.1% attack isolation precision.</w:t>
      </w:r>
    </w:p>
    <w:p>
      <w:pPr>
        <w:spacing w:before="0" w:after="120" w:line="276" w:lineRule="auto"/>
      </w:pPr>
      <w:r>
        <w:rPr>
          <w:rFonts w:ascii="Arial" w:hAnsi="Arial"/>
          <w:b/>
          <w:color w:val="1A202C"/>
          <w:sz w:val="20"/>
        </w:rPr>
        <w:t xml:space="preserve">BibTeX Entry: </w:t>
      </w:r>
      <w:r>
        <w:rPr>
          <w:rFonts w:ascii="Georgia" w:hAnsi="Georgia"/>
          <w:i/>
          <w:color w:val="2D3748"/>
          <w:sz w:val="20"/>
        </w:rPr>
        <w:t>@inproceedings{baalla2024adaptive,</w:t>
        <w:br/>
        <w:t xml:space="preserve">  author = {Baalla, Mohcine and Bouzidi, Driss},</w:t>
        <w:br/>
        <w:t xml:space="preserve">  title = {New Detection Approach Against Trust Manipulation Attack in VANET},</w:t>
        <w:br/>
        <w:t xml:space="preserve">  booktitle = {Proceedings of the 6th International Conference on Big Data, IoT, and Cloud Computing (BDIoT 2024)},</w:t>
        <w:br/>
        <w:t xml:space="preserve">  series = {Lecture Notes in Networks and Systems},</w:t>
        <w:br/>
        <w:t xml:space="preserve">  publisher = {Springer},</w:t>
        <w:br/>
        <w:t xml:space="preserve">  year = {2024}</w:t>
        <w:br/>
        <w:t>}</w:t>
      </w:r>
    </w:p>
    <w:p>
      <w:pPr>
        <w:spacing w:before="0" w:after="120" w:line="276" w:lineRule="auto"/>
      </w:pPr>
      <w:r>
        <w:rPr>
          <w:rFonts w:ascii="Arial" w:hAnsi="Arial"/>
          <w:b/>
          <w:color w:val="1A202C"/>
          <w:sz w:val="20"/>
        </w:rPr>
        <w:t xml:space="preserve">Title: </w:t>
      </w:r>
      <w:r>
        <w:rPr>
          <w:rFonts w:ascii="Georgia" w:hAnsi="Georgia"/>
          <w:i w:val="0"/>
          <w:color w:val="2D3748"/>
          <w:sz w:val="20"/>
        </w:rPr>
        <w:t>Machine Learning Detection Approach Against Trust Manipulation Attack in Trust Management Systems</w:t>
      </w:r>
    </w:p>
    <w:p>
      <w:pPr>
        <w:spacing w:before="0" w:after="120" w:line="276" w:lineRule="auto"/>
      </w:pPr>
      <w:r>
        <w:rPr>
          <w:rFonts w:ascii="Arial" w:hAnsi="Arial"/>
          <w:b/>
          <w:color w:val="1A202C"/>
          <w:sz w:val="20"/>
        </w:rPr>
        <w:t xml:space="preserve">Authors &amp; Venue: </w:t>
      </w:r>
      <w:r>
        <w:rPr>
          <w:rFonts w:ascii="Georgia" w:hAnsi="Georgia"/>
          <w:i/>
          <w:color w:val="2D3748"/>
          <w:sz w:val="20"/>
        </w:rPr>
        <w:t>Baalla Mohcine and Bouzidi Driss. Proceedings of the Eighteenth International Conference on Digital Society (ICDS 2024), Nice, France, 2024</w:t>
      </w:r>
    </w:p>
    <w:p>
      <w:pPr>
        <w:spacing w:before="0" w:after="120" w:line="276" w:lineRule="auto"/>
      </w:pPr>
      <w:r>
        <w:rPr>
          <w:rFonts w:ascii="Arial" w:hAnsi="Arial"/>
          <w:b/>
          <w:color w:val="1A202C"/>
          <w:sz w:val="20"/>
        </w:rPr>
        <w:t xml:space="preserve">Status Badge: </w:t>
      </w:r>
      <w:r>
        <w:rPr>
          <w:rFonts w:ascii="Georgia" w:hAnsi="Georgia"/>
          <w:i w:val="0"/>
          <w:color w:val="2D3748"/>
          <w:sz w:val="20"/>
        </w:rPr>
        <w:t>Published | Indexed International Conference</w:t>
      </w:r>
    </w:p>
    <w:p>
      <w:pPr>
        <w:spacing w:before="0" w:after="120" w:line="276" w:lineRule="auto"/>
      </w:pPr>
      <w:r>
        <w:rPr>
          <w:rFonts w:ascii="Arial" w:hAnsi="Arial"/>
          <w:b/>
          <w:color w:val="1A202C"/>
          <w:sz w:val="20"/>
        </w:rPr>
        <w:t xml:space="preserve">Abstract: </w:t>
      </w:r>
      <w:r>
        <w:rPr>
          <w:rFonts w:ascii="Georgia" w:hAnsi="Georgia"/>
          <w:i w:val="0"/>
          <w:color w:val="2D3748"/>
          <w:sz w:val="20"/>
        </w:rPr>
        <w:t>In decentralized Trust Management Systems, nodes that switch between malicious and benevolent behavior can severely subvert collaborative task execution while evading static thresholding defenses. This paper presents a machine learning detection framework utilizing sliding-window behavioral variance, delivery ratios, and interaction entropy. Benchmarked across multi-agent interaction testbeds, the model achieves 94.8% detection accuracy, cutting isolation latency by 45% compared to static Bayesian Beta reputation baselines.</w:t>
      </w:r>
    </w:p>
    <w:p>
      <w:pPr>
        <w:spacing w:before="0" w:after="120" w:line="276" w:lineRule="auto"/>
      </w:pPr>
      <w:r>
        <w:rPr>
          <w:rFonts w:ascii="Arial" w:hAnsi="Arial"/>
          <w:b/>
          <w:color w:val="1A202C"/>
          <w:sz w:val="20"/>
        </w:rPr>
        <w:t xml:space="preserve">BibTeX Entry: </w:t>
      </w:r>
      <w:r>
        <w:rPr>
          <w:rFonts w:ascii="Georgia" w:hAnsi="Georgia"/>
          <w:i/>
          <w:color w:val="2D3748"/>
          <w:sz w:val="20"/>
        </w:rPr>
        <w:t>@inproceedings{baalla2024ml,</w:t>
        <w:br/>
        <w:t xml:space="preserve">  author = {Baalla, Mohcine and Bouzidi, Driss},</w:t>
        <w:br/>
        <w:t xml:space="preserve">  title = {Machine Learning Detection Approach Against Trust Manipulation Attack in Trust Management Systems},</w:t>
        <w:br/>
        <w:t xml:space="preserve">  booktitle = {Proceedings of the Eighteenth International Conference on Digital Society (ICDS 2024)},</w:t>
        <w:br/>
        <w:t xml:space="preserve">  year = {2024}</w:t>
        <w:br/>
        <w:t>}</w:t>
      </w:r>
    </w:p>
    <w:p>
      <w:pPr>
        <w:pStyle w:val="Heading2"/>
        <w:keepNext/>
        <w:spacing w:before="280" w:after="120"/>
      </w:pPr>
      <w:r>
        <w:rPr>
          <w:rFonts w:ascii="Arial" w:hAnsi="Arial"/>
          <w:b/>
          <w:color w:val="1A365D"/>
          <w:sz w:val="26"/>
        </w:rPr>
        <w:t>4.4 Active Pipeline &amp; Ongoing Journal Manuscripts (For Website Research/Projects)</w:t>
      </w:r>
    </w:p>
    <w:p>
      <w:pPr>
        <w:spacing w:before="0" w:after="120" w:line="276" w:lineRule="auto"/>
      </w:pPr>
      <w:r>
        <w:rPr>
          <w:rFonts w:ascii="Arial" w:hAnsi="Arial"/>
          <w:b/>
          <w:color w:val="1A202C"/>
          <w:sz w:val="20"/>
        </w:rPr>
        <w:t xml:space="preserve">Working Title: </w:t>
      </w:r>
      <w:r>
        <w:rPr>
          <w:rFonts w:ascii="Georgia" w:hAnsi="Georgia"/>
          <w:i w:val="0"/>
          <w:color w:val="2D3748"/>
          <w:sz w:val="20"/>
        </w:rPr>
        <w:t>Defeating Perfect Temporal Mimicry in SIoT: A Deep Semantic Relational Attention Framework</w:t>
      </w:r>
    </w:p>
    <w:p>
      <w:pPr>
        <w:spacing w:before="0" w:after="120" w:line="276" w:lineRule="auto"/>
      </w:pPr>
      <w:r>
        <w:rPr>
          <w:rFonts w:ascii="Arial" w:hAnsi="Arial"/>
          <w:b/>
          <w:color w:val="1A202C"/>
          <w:sz w:val="20"/>
        </w:rPr>
        <w:t xml:space="preserve">Targeted Venue: </w:t>
      </w:r>
      <w:r>
        <w:rPr>
          <w:rFonts w:ascii="Georgia" w:hAnsi="Georgia"/>
          <w:i/>
          <w:color w:val="2D3748"/>
          <w:sz w:val="20"/>
        </w:rPr>
        <w:t>IEEE Access (2026 Submission Target)</w:t>
      </w:r>
    </w:p>
    <w:p>
      <w:pPr>
        <w:spacing w:before="0" w:after="120" w:line="276" w:lineRule="auto"/>
      </w:pPr>
      <w:r>
        <w:rPr>
          <w:rFonts w:ascii="Arial" w:hAnsi="Arial"/>
          <w:b/>
          <w:color w:val="1A202C"/>
          <w:sz w:val="20"/>
        </w:rPr>
        <w:t xml:space="preserve">Technical Summary: </w:t>
      </w:r>
      <w:r>
        <w:rPr>
          <w:rFonts w:ascii="Georgia" w:hAnsi="Georgia"/>
          <w:i w:val="0"/>
          <w:color w:val="2D3748"/>
          <w:sz w:val="20"/>
        </w:rPr>
        <w:t>Counters Generative Adversarial Network (GAN)-based Pareto temporal mimicry where adversaries synthesize transaction timings indistinguishable from honest nodes. Proposes Multihead Self-Attention over Continuous-Time Dynamic Graphs (CTDG) with semantic relational masking. Achieves AP = 0.9707, FPR = 0.0023, and 0.17 ms inference latency.</w:t>
      </w:r>
    </w:p>
    <w:p>
      <w:pPr>
        <w:spacing w:before="0" w:after="120" w:line="276" w:lineRule="auto"/>
      </w:pPr>
      <w:r>
        <w:rPr>
          <w:rFonts w:ascii="Arial" w:hAnsi="Arial"/>
          <w:b/>
          <w:color w:val="1A202C"/>
          <w:sz w:val="20"/>
        </w:rPr>
        <w:t xml:space="preserve">Working Title: </w:t>
      </w:r>
      <w:r>
        <w:rPr>
          <w:rFonts w:ascii="Georgia" w:hAnsi="Georgia"/>
          <w:i w:val="0"/>
          <w:color w:val="2D3748"/>
          <w:sz w:val="20"/>
        </w:rPr>
        <w:t>Temporal-Gated Social Rehabilitation for Lightweight Trust Management and TMA Resistance in the Social Internet of Things</w:t>
      </w:r>
    </w:p>
    <w:p>
      <w:pPr>
        <w:spacing w:before="0" w:after="120" w:line="276" w:lineRule="auto"/>
      </w:pPr>
      <w:r>
        <w:rPr>
          <w:rFonts w:ascii="Arial" w:hAnsi="Arial"/>
          <w:b/>
          <w:color w:val="1A202C"/>
          <w:sz w:val="20"/>
        </w:rPr>
        <w:t xml:space="preserve">Targeted Venue: </w:t>
      </w:r>
      <w:r>
        <w:rPr>
          <w:rFonts w:ascii="Georgia" w:hAnsi="Georgia"/>
          <w:i/>
          <w:color w:val="2D3748"/>
          <w:sz w:val="20"/>
        </w:rPr>
        <w:t>Elsevier Computers &amp; Security (2026 Submission Target)</w:t>
      </w:r>
    </w:p>
    <w:p>
      <w:pPr>
        <w:spacing w:before="0" w:after="120" w:line="276" w:lineRule="auto"/>
      </w:pPr>
      <w:r>
        <w:rPr>
          <w:rFonts w:ascii="Arial" w:hAnsi="Arial"/>
          <w:b/>
          <w:color w:val="1A202C"/>
          <w:sz w:val="20"/>
        </w:rPr>
        <w:t xml:space="preserve">Technical Summary: </w:t>
      </w:r>
      <w:r>
        <w:rPr>
          <w:rFonts w:ascii="Georgia" w:hAnsi="Georgia"/>
          <w:i w:val="0"/>
          <w:color w:val="2D3748"/>
          <w:sz w:val="20"/>
        </w:rPr>
        <w:t>Solves the trust-isolation deadlock where falsely penalized benign nodes become permanently quarantined. Introduces variance-gated social endorsements, sequential transition-rate gating, and burst-length validation, achieving 98.4% benign recovery while preventing 100% of malicious recidivism.</w:t>
      </w:r>
    </w:p>
    <w:p>
      <w:pPr>
        <w:spacing w:before="0" w:after="120" w:line="276" w:lineRule="auto"/>
      </w:pPr>
      <w:r>
        <w:rPr>
          <w:rFonts w:ascii="Arial" w:hAnsi="Arial"/>
          <w:b/>
          <w:color w:val="1A202C"/>
          <w:sz w:val="20"/>
        </w:rPr>
        <w:t xml:space="preserve">Working Title: </w:t>
      </w:r>
      <w:r>
        <w:rPr>
          <w:rFonts w:ascii="Georgia" w:hAnsi="Georgia"/>
          <w:i w:val="0"/>
          <w:color w:val="2D3748"/>
          <w:sz w:val="20"/>
        </w:rPr>
        <w:t>Integrity-Constrained Trust Bootstrapping Under Zero Behavioral Evidence in the Social IoT</w:t>
      </w:r>
    </w:p>
    <w:p>
      <w:pPr>
        <w:spacing w:before="0" w:after="120" w:line="276" w:lineRule="auto"/>
      </w:pPr>
      <w:r>
        <w:rPr>
          <w:rFonts w:ascii="Arial" w:hAnsi="Arial"/>
          <w:b/>
          <w:color w:val="1A202C"/>
          <w:sz w:val="20"/>
        </w:rPr>
        <w:t xml:space="preserve">Targeted Venue: </w:t>
      </w:r>
      <w:r>
        <w:rPr>
          <w:rFonts w:ascii="Georgia" w:hAnsi="Georgia"/>
          <w:i/>
          <w:color w:val="2D3748"/>
          <w:sz w:val="20"/>
        </w:rPr>
        <w:t>IEEE Internet of Things Journal (Targeted Submission)</w:t>
      </w:r>
    </w:p>
    <w:p>
      <w:pPr>
        <w:spacing w:before="0" w:after="120" w:line="276" w:lineRule="auto"/>
      </w:pPr>
      <w:r>
        <w:rPr>
          <w:rFonts w:ascii="Arial" w:hAnsi="Arial"/>
          <w:b/>
          <w:color w:val="1A202C"/>
          <w:sz w:val="20"/>
        </w:rPr>
        <w:t xml:space="preserve">Technical Summary: </w:t>
      </w:r>
      <w:r>
        <w:rPr>
          <w:rFonts w:ascii="Georgia" w:hAnsi="Georgia"/>
          <w:i w:val="0"/>
          <w:color w:val="2D3748"/>
          <w:sz w:val="20"/>
        </w:rPr>
        <w:t>Solves the structural cold-start dilemma for newly deployed IoT devices using multi-relational Knowledge Graph priors over POR, OOR, CLOR, CWOR, and SOR, combined with Inductive Graph Neural Networks.</w:t>
      </w:r>
    </w:p>
    <w:p>
      <w:pPr>
        <w:spacing w:before="0" w:after="120" w:line="276" w:lineRule="auto"/>
      </w:pPr>
      <w:r>
        <w:rPr>
          <w:rFonts w:ascii="Arial" w:hAnsi="Arial"/>
          <w:b/>
          <w:color w:val="1A202C"/>
          <w:sz w:val="20"/>
        </w:rPr>
        <w:t xml:space="preserve">Working Title: </w:t>
      </w:r>
      <w:r>
        <w:rPr>
          <w:rFonts w:ascii="Georgia" w:hAnsi="Georgia"/>
          <w:i w:val="0"/>
          <w:color w:val="2D3748"/>
          <w:sz w:val="20"/>
        </w:rPr>
        <w:t>A Continuous-Time Dynamic Graph Framework for Mitigating Delayed Trust Manipulation Attacks in SIoT Architectures</w:t>
      </w:r>
    </w:p>
    <w:p>
      <w:pPr>
        <w:spacing w:before="0" w:after="120" w:line="276" w:lineRule="auto"/>
      </w:pPr>
      <w:r>
        <w:rPr>
          <w:rFonts w:ascii="Arial" w:hAnsi="Arial"/>
          <w:b/>
          <w:color w:val="1A202C"/>
          <w:sz w:val="20"/>
        </w:rPr>
        <w:t xml:space="preserve">Targeted Venue: </w:t>
      </w:r>
      <w:r>
        <w:rPr>
          <w:rFonts w:ascii="Georgia" w:hAnsi="Georgia"/>
          <w:i/>
          <w:color w:val="2D3748"/>
          <w:sz w:val="20"/>
        </w:rPr>
        <w:t>IEEE Transactions on Network and Service Management (Targeted Submission)</w:t>
      </w:r>
    </w:p>
    <w:p>
      <w:pPr>
        <w:spacing w:before="0" w:after="120" w:line="276" w:lineRule="auto"/>
      </w:pPr>
      <w:r>
        <w:rPr>
          <w:rFonts w:ascii="Arial" w:hAnsi="Arial"/>
          <w:b/>
          <w:color w:val="1A202C"/>
          <w:sz w:val="20"/>
        </w:rPr>
        <w:t xml:space="preserve">Technical Summary: </w:t>
      </w:r>
      <w:r>
        <w:rPr>
          <w:rFonts w:ascii="Georgia" w:hAnsi="Georgia"/>
          <w:i w:val="0"/>
          <w:color w:val="2D3748"/>
          <w:sz w:val="20"/>
        </w:rPr>
        <w:t>Employs Temporal Graph Networks (TGN) with continuous memory updates over event streams to defeat ultra-long-horizon delayed TMA that easily evades fixed sliding windows.</w:t>
      </w:r>
    </w:p>
    <w:p>
      <w:pPr>
        <w:pStyle w:val="Heading1"/>
        <w:keepNext/>
        <w:spacing w:before="360" w:after="160"/>
      </w:pPr>
      <w:r>
        <w:rPr>
          <w:rFonts w:ascii="Arial" w:hAnsi="Arial"/>
          <w:b/>
          <w:color w:val="0F294A"/>
          <w:sz w:val="32"/>
        </w:rPr>
        <w:t>5. Page 4 Specification: Research Projects &amp; Simulation Testbeds</w:t>
      </w:r>
    </w:p>
    <w:p>
      <w:pPr>
        <w:spacing w:before="0" w:after="120" w:line="276" w:lineRule="auto"/>
      </w:pPr>
      <w:r>
        <w:rPr>
          <w:rFonts w:ascii="Georgia" w:hAnsi="Georgia"/>
          <w:i w:val="0"/>
          <w:color w:val="2D3748"/>
          <w:sz w:val="20"/>
        </w:rPr>
        <w:t>This section details the empirical platforms, network simulation engines, and AI/cryptographic frameworks Mohcine has engineered, providing concrete technical credibility for website visitors.</w:t>
      </w:r>
    </w:p>
    <w:p>
      <w:pPr>
        <w:pStyle w:val="Heading2"/>
        <w:keepNext/>
        <w:spacing w:before="280" w:after="120"/>
      </w:pPr>
      <w:r>
        <w:rPr>
          <w:rFonts w:ascii="Arial" w:hAnsi="Arial"/>
          <w:b/>
          <w:color w:val="1A365D"/>
          <w:sz w:val="26"/>
        </w:rPr>
        <w:t>Testbed 1: Contiki-NG &amp; Cooja Sensor Emulation Testbed</w:t>
      </w:r>
    </w:p>
    <w:p>
      <w:pPr>
        <w:spacing w:before="0" w:after="120" w:line="276" w:lineRule="auto"/>
      </w:pPr>
      <w:r>
        <w:rPr>
          <w:rFonts w:ascii="Georgia" w:hAnsi="Georgia"/>
          <w:i w:val="0"/>
          <w:color w:val="2D3748"/>
          <w:sz w:val="20"/>
        </w:rPr>
        <w:t>Hardware-accurate cycle-level emulation of constrained IoT devices (Tmote Sky / MSP430, CC2420 transceiver). Simulates realistic 6LoWPAN, RPL routing, and IEEE 802.15.4 wireless loss across 51+ distributed nodes. Implements edge-native C modules executing the Structural Diversity Penalty (SDP) in &lt; 2.4 KB RAM.</w:t>
      </w:r>
    </w:p>
    <w:p>
      <w:pPr>
        <w:pStyle w:val="Heading2"/>
        <w:keepNext/>
        <w:spacing w:before="280" w:after="120"/>
      </w:pPr>
      <w:r>
        <w:rPr>
          <w:rFonts w:ascii="Arial" w:hAnsi="Arial"/>
          <w:b/>
          <w:color w:val="1A365D"/>
          <w:sz w:val="26"/>
        </w:rPr>
        <w:t>Testbed 2: OMNeT++, Veins &amp; SUMO Vehicular Co-Simulation</w:t>
      </w:r>
    </w:p>
    <w:p>
      <w:pPr>
        <w:spacing w:before="0" w:after="120" w:line="276" w:lineRule="auto"/>
      </w:pPr>
      <w:r>
        <w:rPr>
          <w:rFonts w:ascii="Georgia" w:hAnsi="Georgia"/>
          <w:i w:val="0"/>
          <w:color w:val="2D3748"/>
          <w:sz w:val="20"/>
        </w:rPr>
        <w:t>Coupled vehicular ad-hoc simulation framework linking SUMO (microscopic road mobility and vehicle kinematics), Veins (IEEE 802.11p DSRC wireless vehicular physics), and OMNeT++ (discrete event network protocol stack). Used to benchmark adaptive trust thresholds and TMA anomaly detection under high-speed highway mobility.</w:t>
      </w:r>
    </w:p>
    <w:p>
      <w:pPr>
        <w:pStyle w:val="Heading2"/>
        <w:keepNext/>
        <w:spacing w:before="280" w:after="120"/>
      </w:pPr>
      <w:r>
        <w:rPr>
          <w:rFonts w:ascii="Arial" w:hAnsi="Arial"/>
          <w:b/>
          <w:color w:val="1A365D"/>
          <w:sz w:val="26"/>
        </w:rPr>
        <w:t>Testbed 3: Continuous-Time Dynamic Graph (CTDG) &amp; PyG Temporal Framework</w:t>
      </w:r>
    </w:p>
    <w:p>
      <w:pPr>
        <w:spacing w:before="0" w:after="120" w:line="276" w:lineRule="auto"/>
      </w:pPr>
      <w:r>
        <w:rPr>
          <w:rFonts w:ascii="Georgia" w:hAnsi="Georgia"/>
          <w:i w:val="0"/>
          <w:color w:val="2D3748"/>
          <w:sz w:val="20"/>
        </w:rPr>
        <w:t>Deep graph learning pipeline built on PyTorch Geometric (PyG) and PyG Temporal. Processes continuous event streams, computing multihead relational attention and dynamic edge embeddings to detect GAN-driven temporal mimicry and delayed behavioral switching.</w:t>
      </w:r>
    </w:p>
    <w:p>
      <w:pPr>
        <w:pStyle w:val="Heading2"/>
        <w:keepNext/>
        <w:spacing w:before="280" w:after="120"/>
      </w:pPr>
      <w:r>
        <w:rPr>
          <w:rFonts w:ascii="Arial" w:hAnsi="Arial"/>
          <w:b/>
          <w:color w:val="1A365D"/>
          <w:sz w:val="26"/>
        </w:rPr>
        <w:t>Testbed 4: Edge Zero-Knowledge Cryptographic Prover (zk-SNARKs)</w:t>
      </w:r>
    </w:p>
    <w:p>
      <w:pPr>
        <w:spacing w:before="0" w:after="120" w:line="276" w:lineRule="auto"/>
      </w:pPr>
      <w:r>
        <w:rPr>
          <w:rFonts w:ascii="Georgia" w:hAnsi="Georgia"/>
          <w:i w:val="0"/>
          <w:color w:val="2D3748"/>
          <w:sz w:val="20"/>
        </w:rPr>
        <w:t>Cryptographic testbed utilizing BN254 elliptic curves and Groth16 zk-SNARK protocols. Benchmarked on embedded edge processors and Linux ARM gateways to achieve sub-42 ms proof generation and sub-3.2 ms verification of trust threshold compliance.</w:t>
      </w:r>
    </w:p>
    <w:p>
      <w:pPr>
        <w:pStyle w:val="Heading1"/>
        <w:keepNext/>
        <w:spacing w:before="360" w:after="160"/>
      </w:pPr>
      <w:r>
        <w:rPr>
          <w:rFonts w:ascii="Arial" w:hAnsi="Arial"/>
          <w:b/>
          <w:color w:val="0F294A"/>
          <w:sz w:val="32"/>
        </w:rPr>
        <w:t>6. Page 5 Specification: Academic Resume (CV) &amp; Technical Competencies</w:t>
      </w:r>
    </w:p>
    <w:p>
      <w:pPr>
        <w:pStyle w:val="Heading2"/>
        <w:keepNext/>
        <w:spacing w:before="280" w:after="120"/>
      </w:pPr>
      <w:r>
        <w:rPr>
          <w:rFonts w:ascii="Arial" w:hAnsi="Arial"/>
          <w:b/>
          <w:color w:val="1A365D"/>
          <w:sz w:val="26"/>
        </w:rPr>
        <w:t>6.1 Education Timeline</w:t>
      </w:r>
    </w:p>
    <w:p>
      <w:pPr>
        <w:pStyle w:val="ListBullet"/>
        <w:spacing w:before="0" w:after="60" w:line="276" w:lineRule="auto"/>
      </w:pPr>
      <w:r>
        <w:rPr>
          <w:rFonts w:ascii="Arial" w:hAnsi="Arial"/>
          <w:b/>
          <w:color w:val="1A202C"/>
          <w:sz w:val="19"/>
        </w:rPr>
        <w:t xml:space="preserve">PhD Candidate in Computer Science &amp; Cybersecurity (2022 – Present): </w:t>
      </w:r>
      <w:r>
        <w:rPr>
          <w:rFonts w:ascii="Georgia" w:hAnsi="Georgia"/>
          <w:color w:val="2D3748"/>
          <w:sz w:val="19"/>
        </w:rPr>
        <w:t>Smart Systems Laboratory (SSL), National School of Computer Science and Systems Analysis (ENSIAS), Mohammed V University in Rabat, Morocco. Thesis: Resilient Trust Management, Adversarial Threat Modeling, and Multi-Layer Defenses in Social IoT and Vehicular Networks. Supervised by Prof. Driss Bouzidi.</w:t>
      </w:r>
    </w:p>
    <w:p>
      <w:pPr>
        <w:pStyle w:val="ListBullet"/>
        <w:spacing w:before="0" w:after="60" w:line="276" w:lineRule="auto"/>
      </w:pPr>
      <w:r>
        <w:rPr>
          <w:rFonts w:ascii="Arial" w:hAnsi="Arial"/>
          <w:b/>
          <w:color w:val="1A202C"/>
          <w:sz w:val="19"/>
        </w:rPr>
        <w:t xml:space="preserve">Master's Degree in Computer Science / Networks &amp; Distributed Systems: </w:t>
      </w:r>
      <w:r>
        <w:rPr>
          <w:rFonts w:ascii="Georgia" w:hAnsi="Georgia"/>
          <w:color w:val="2D3748"/>
          <w:sz w:val="19"/>
        </w:rPr>
        <w:t>High honors. Specialization in distributed algorithms, network security, and advanced communication protocols.</w:t>
      </w:r>
    </w:p>
    <w:p>
      <w:pPr>
        <w:pStyle w:val="ListBullet"/>
        <w:spacing w:before="0" w:after="60" w:line="276" w:lineRule="auto"/>
      </w:pPr>
      <w:r>
        <w:rPr>
          <w:rFonts w:ascii="Arial" w:hAnsi="Arial"/>
          <w:b/>
          <w:color w:val="1A202C"/>
          <w:sz w:val="19"/>
        </w:rPr>
        <w:t xml:space="preserve">Bachelor's Degree (Licence) in Computer Science &amp; Mathematics: </w:t>
      </w:r>
      <w:r>
        <w:rPr>
          <w:rFonts w:ascii="Georgia" w:hAnsi="Georgia"/>
          <w:color w:val="2D3748"/>
          <w:sz w:val="19"/>
        </w:rPr>
        <w:t>Rigorous foundations in algorithms, graph theory, discrete mathematics, and software engineering.</w:t>
      </w:r>
    </w:p>
    <w:p>
      <w:pPr>
        <w:pStyle w:val="Heading2"/>
        <w:keepNext/>
        <w:spacing w:before="280" w:after="120"/>
      </w:pPr>
      <w:r>
        <w:rPr>
          <w:rFonts w:ascii="Arial" w:hAnsi="Arial"/>
          <w:b/>
          <w:color w:val="1A365D"/>
          <w:sz w:val="26"/>
        </w:rPr>
        <w:t>6.2 Technical Skill Matrix</w:t>
      </w:r>
    </w:p>
    <w:p>
      <w:pPr>
        <w:pStyle w:val="ListBullet"/>
        <w:spacing w:before="0" w:after="60" w:line="276" w:lineRule="auto"/>
      </w:pPr>
      <w:r>
        <w:rPr>
          <w:rFonts w:ascii="Arial" w:hAnsi="Arial"/>
          <w:b/>
          <w:color w:val="1A202C"/>
          <w:sz w:val="19"/>
        </w:rPr>
        <w:t xml:space="preserve">Programming Languages: </w:t>
      </w:r>
      <w:r>
        <w:rPr>
          <w:rFonts w:ascii="Georgia" w:hAnsi="Georgia"/>
          <w:color w:val="2D3748"/>
          <w:sz w:val="19"/>
        </w:rPr>
        <w:t>Python (Advanced scientific stack), C / Embedded C (Contiki-NG / Cooja), Java, C++, Bash/Shell Scripting, SQL, LaTeX.</w:t>
      </w:r>
    </w:p>
    <w:p>
      <w:pPr>
        <w:pStyle w:val="ListBullet"/>
        <w:spacing w:before="0" w:after="60" w:line="276" w:lineRule="auto"/>
      </w:pPr>
      <w:r>
        <w:rPr>
          <w:rFonts w:ascii="Arial" w:hAnsi="Arial"/>
          <w:b/>
          <w:color w:val="1A202C"/>
          <w:sz w:val="19"/>
        </w:rPr>
        <w:t xml:space="preserve">Machine Learning &amp; Graph AI: </w:t>
      </w:r>
      <w:r>
        <w:rPr>
          <w:rFonts w:ascii="Georgia" w:hAnsi="Georgia"/>
          <w:color w:val="2D3748"/>
          <w:sz w:val="19"/>
        </w:rPr>
        <w:t>PyTorch, PyTorch Geometric, PyTorch Geometric Temporal, Scikit-learn, NetworkX, NumPy, Pandas, Matplotlib, Seaborn.</w:t>
      </w:r>
    </w:p>
    <w:p>
      <w:pPr>
        <w:pStyle w:val="ListBullet"/>
        <w:spacing w:before="0" w:after="60" w:line="276" w:lineRule="auto"/>
      </w:pPr>
      <w:r>
        <w:rPr>
          <w:rFonts w:ascii="Arial" w:hAnsi="Arial"/>
          <w:b/>
          <w:color w:val="1A202C"/>
          <w:sz w:val="19"/>
        </w:rPr>
        <w:t xml:space="preserve">Network &amp; IoT Simulation: </w:t>
      </w:r>
      <w:r>
        <w:rPr>
          <w:rFonts w:ascii="Georgia" w:hAnsi="Georgia"/>
          <w:color w:val="2D3748"/>
          <w:sz w:val="19"/>
        </w:rPr>
        <w:t>Contiki-NG, Cooja Simulator, OMNeT++, Veins, SUMO (Simulation of Urban MObility), Wireshark, Mininet.</w:t>
      </w:r>
    </w:p>
    <w:p>
      <w:pPr>
        <w:pStyle w:val="ListBullet"/>
        <w:spacing w:before="0" w:after="60" w:line="276" w:lineRule="auto"/>
      </w:pPr>
      <w:r>
        <w:rPr>
          <w:rFonts w:ascii="Arial" w:hAnsi="Arial"/>
          <w:b/>
          <w:color w:val="1A202C"/>
          <w:sz w:val="19"/>
        </w:rPr>
        <w:t xml:space="preserve">Security &amp; Cryptography: </w:t>
      </w:r>
      <w:r>
        <w:rPr>
          <w:rFonts w:ascii="Georgia" w:hAnsi="Georgia"/>
          <w:color w:val="2D3748"/>
          <w:sz w:val="19"/>
        </w:rPr>
        <w:t>Zero-Knowledge Proofs (zk-SNARKs, Groth16, BN254), Trust Management Systems (TMS), Threat Modeling, Sybil Detection, Anomaly Detection.</w:t>
      </w:r>
    </w:p>
    <w:p>
      <w:pPr>
        <w:pStyle w:val="ListBullet"/>
        <w:spacing w:before="0" w:after="60" w:line="276" w:lineRule="auto"/>
      </w:pPr>
      <w:r>
        <w:rPr>
          <w:rFonts w:ascii="Arial" w:hAnsi="Arial"/>
          <w:b/>
          <w:color w:val="1A202C"/>
          <w:sz w:val="19"/>
        </w:rPr>
        <w:t xml:space="preserve">Operating Systems &amp; DevOps: </w:t>
      </w:r>
      <w:r>
        <w:rPr>
          <w:rFonts w:ascii="Georgia" w:hAnsi="Georgia"/>
          <w:color w:val="2D3748"/>
          <w:sz w:val="19"/>
        </w:rPr>
        <w:t>Linux (Ubuntu, Debian), Docker, Git, GitHub, VS Code, Linux Kernel Networking.</w:t>
      </w:r>
    </w:p>
    <w:p>
      <w:pPr>
        <w:pStyle w:val="ListBullet"/>
        <w:spacing w:before="0" w:after="60" w:line="276" w:lineRule="auto"/>
      </w:pPr>
      <w:r>
        <w:rPr>
          <w:rFonts w:ascii="Arial" w:hAnsi="Arial"/>
          <w:b/>
          <w:color w:val="1A202C"/>
          <w:sz w:val="19"/>
        </w:rPr>
        <w:t xml:space="preserve">Languages: </w:t>
      </w:r>
      <w:r>
        <w:rPr>
          <w:rFonts w:ascii="Georgia" w:hAnsi="Georgia"/>
          <w:color w:val="2D3748"/>
          <w:sz w:val="19"/>
        </w:rPr>
        <w:t>English (Fluent / Professional &amp; Academic Writing), French (Fluent / Professional), Arabic (Native).</w:t>
      </w:r>
    </w:p>
    <w:p>
      <w:pPr>
        <w:pStyle w:val="Heading1"/>
        <w:keepNext/>
        <w:spacing w:before="360" w:after="160"/>
      </w:pPr>
      <w:r>
        <w:rPr>
          <w:rFonts w:ascii="Arial" w:hAnsi="Arial"/>
          <w:b/>
          <w:color w:val="0F294A"/>
          <w:sz w:val="32"/>
        </w:rPr>
        <w:t>7. Page 6 Specification: Contact &amp; Professional Links</w:t>
      </w:r>
    </w:p>
    <w:p>
      <w:pPr>
        <w:pStyle w:val="ListBullet"/>
        <w:spacing w:before="0" w:after="60" w:line="276" w:lineRule="auto"/>
      </w:pPr>
      <w:r>
        <w:rPr>
          <w:rFonts w:ascii="Arial" w:hAnsi="Arial"/>
          <w:b/>
          <w:color w:val="1A202C"/>
          <w:sz w:val="19"/>
        </w:rPr>
        <w:t xml:space="preserve">Institutional Email: </w:t>
      </w:r>
      <w:r>
        <w:rPr>
          <w:rFonts w:ascii="Georgia" w:hAnsi="Georgia"/>
          <w:color w:val="2D3748"/>
          <w:sz w:val="19"/>
        </w:rPr>
        <w:t>mohcine_baalla@um5.ac.ma</w:t>
      </w:r>
    </w:p>
    <w:p>
      <w:pPr>
        <w:pStyle w:val="ListBullet"/>
        <w:spacing w:before="0" w:after="60" w:line="276" w:lineRule="auto"/>
      </w:pPr>
      <w:r>
        <w:rPr>
          <w:rFonts w:ascii="Arial" w:hAnsi="Arial"/>
          <w:b/>
          <w:color w:val="1A202C"/>
          <w:sz w:val="19"/>
        </w:rPr>
        <w:t xml:space="preserve">Physical Office: </w:t>
      </w:r>
      <w:r>
        <w:rPr>
          <w:rFonts w:ascii="Georgia" w:hAnsi="Georgia"/>
          <w:color w:val="2D3748"/>
          <w:sz w:val="19"/>
        </w:rPr>
        <w:t>Smart Systems Laboratory (SSL), ENSIAS, Avenue Mohammed Ben Abdallah Regragui, Madinat Al Irfane, BP 713, Rabat, Morocco</w:t>
      </w:r>
    </w:p>
    <w:p>
      <w:pPr>
        <w:pStyle w:val="ListBullet"/>
        <w:spacing w:before="0" w:after="60" w:line="276" w:lineRule="auto"/>
      </w:pPr>
      <w:r>
        <w:rPr>
          <w:rFonts w:ascii="Arial" w:hAnsi="Arial"/>
          <w:b/>
          <w:color w:val="1A202C"/>
          <w:sz w:val="19"/>
        </w:rPr>
        <w:t xml:space="preserve">ORCID Profile: </w:t>
      </w:r>
      <w:r>
        <w:rPr>
          <w:rFonts w:ascii="Georgia" w:hAnsi="Georgia"/>
          <w:color w:val="2D3748"/>
          <w:sz w:val="19"/>
        </w:rPr>
        <w:t>https://orcid.org/0009-0001-5148-0556</w:t>
      </w:r>
    </w:p>
    <w:p>
      <w:pPr>
        <w:pStyle w:val="ListBullet"/>
        <w:spacing w:before="0" w:after="60" w:line="276" w:lineRule="auto"/>
      </w:pPr>
      <w:r>
        <w:rPr>
          <w:rFonts w:ascii="Arial" w:hAnsi="Arial"/>
          <w:b/>
          <w:color w:val="1A202C"/>
          <w:sz w:val="19"/>
        </w:rPr>
        <w:t xml:space="preserve">ResearchGate Profile: </w:t>
      </w:r>
      <w:r>
        <w:rPr>
          <w:rFonts w:ascii="Georgia" w:hAnsi="Georgia"/>
          <w:color w:val="2D3748"/>
          <w:sz w:val="19"/>
        </w:rPr>
        <w:t>https://www.researchgate.net/profile/Mohcine-Baalla (Search: Mohcine Baalla)</w:t>
      </w:r>
    </w:p>
    <w:p>
      <w:pPr>
        <w:pStyle w:val="ListBullet"/>
        <w:spacing w:before="0" w:after="60" w:line="276" w:lineRule="auto"/>
      </w:pPr>
      <w:r>
        <w:rPr>
          <w:rFonts w:ascii="Arial" w:hAnsi="Arial"/>
          <w:b/>
          <w:color w:val="1A202C"/>
          <w:sz w:val="19"/>
        </w:rPr>
        <w:t xml:space="preserve">Google Scholar: </w:t>
      </w:r>
      <w:r>
        <w:rPr>
          <w:rFonts w:ascii="Georgia" w:hAnsi="Georgia"/>
          <w:color w:val="2D3748"/>
          <w:sz w:val="19"/>
        </w:rPr>
        <w:t>Mohcine Baalla (Smart Systems Laboratory, ENSIAS, Mohammed V University)</w:t>
      </w:r>
    </w:p>
    <w:p>
      <w:pPr>
        <w:pStyle w:val="ListBullet"/>
        <w:spacing w:before="0" w:after="60" w:line="276" w:lineRule="auto"/>
      </w:pPr>
      <w:r>
        <w:rPr>
          <w:rFonts w:ascii="Arial" w:hAnsi="Arial"/>
          <w:b/>
          <w:color w:val="1A202C"/>
          <w:sz w:val="19"/>
        </w:rPr>
        <w:t xml:space="preserve">LinkedIn &amp; GitHub: </w:t>
      </w:r>
      <w:r>
        <w:rPr>
          <w:rFonts w:ascii="Georgia" w:hAnsi="Georgia"/>
          <w:color w:val="2D3748"/>
          <w:sz w:val="19"/>
        </w:rPr>
        <w:t>Placeholders configured in web template for custom vanity URLs.</w:t>
      </w:r>
    </w:p>
    <w:p>
      <w:pPr>
        <w:pStyle w:val="Heading1"/>
        <w:keepNext/>
        <w:spacing w:before="360" w:after="160"/>
      </w:pPr>
      <w:r>
        <w:rPr>
          <w:rFonts w:ascii="Arial" w:hAnsi="Arial"/>
          <w:b/>
          <w:color w:val="0F294A"/>
          <w:sz w:val="32"/>
        </w:rPr>
        <w:t>8. Technical Blueprint &amp; Guidance for Web Development Agents</w:t>
      </w:r>
    </w:p>
    <w:p>
      <w:pPr>
        <w:spacing w:before="0" w:after="120" w:line="276" w:lineRule="auto"/>
      </w:pPr>
      <w:r>
        <w:rPr>
          <w:rFonts w:ascii="Arial" w:hAnsi="Arial"/>
          <w:b/>
          <w:color w:val="1A202C"/>
          <w:sz w:val="20"/>
        </w:rPr>
        <w:t xml:space="preserve">Implementation Directives. </w:t>
      </w:r>
      <w:r>
        <w:rPr>
          <w:rFonts w:ascii="Georgia" w:hAnsi="Georgia"/>
          <w:i w:val="0"/>
          <w:color w:val="2D3748"/>
          <w:sz w:val="20"/>
        </w:rPr>
        <w:t>When executing the website build with an AI coding agent, follow these concrete implementation principles:</w:t>
      </w:r>
    </w:p>
    <w:p>
      <w:pPr>
        <w:pStyle w:val="ListBullet"/>
        <w:spacing w:before="0" w:after="60" w:line="276" w:lineRule="auto"/>
      </w:pPr>
      <w:r>
        <w:rPr>
          <w:rFonts w:ascii="Arial" w:hAnsi="Arial"/>
          <w:b/>
          <w:color w:val="1A202C"/>
          <w:sz w:val="19"/>
        </w:rPr>
        <w:t xml:space="preserve">Architecture: </w:t>
      </w:r>
      <w:r>
        <w:rPr>
          <w:rFonts w:ascii="Georgia" w:hAnsi="Georgia"/>
          <w:color w:val="2D3748"/>
          <w:sz w:val="19"/>
        </w:rPr>
        <w:t>Create clean, static web files (e.g. index.html, research.html, publications.html, projects.html, cv.html, contact.html) with Vanilla CSS (or modern Vite/HTML5). Ensure fast load times and zero unnecessary runtime dependencies.</w:t>
      </w:r>
    </w:p>
    <w:p>
      <w:pPr>
        <w:pStyle w:val="ListBullet"/>
        <w:spacing w:before="0" w:after="60" w:line="276" w:lineRule="auto"/>
      </w:pPr>
      <w:r>
        <w:rPr>
          <w:rFonts w:ascii="Arial" w:hAnsi="Arial"/>
          <w:b/>
          <w:color w:val="1A202C"/>
          <w:sz w:val="19"/>
        </w:rPr>
        <w:t xml:space="preserve">Data Separation: </w:t>
      </w:r>
      <w:r>
        <w:rPr>
          <w:rFonts w:ascii="Georgia" w:hAnsi="Georgia"/>
          <w:color w:val="2D3748"/>
          <w:sz w:val="19"/>
        </w:rPr>
        <w:t>Store publications, news, and project items in clean JSON or JavaScript data objects (e.g., `publications.json` or `data.js`) to allow seamless future updates as new papers appear.</w:t>
      </w:r>
    </w:p>
    <w:p>
      <w:pPr>
        <w:pStyle w:val="ListBullet"/>
        <w:spacing w:before="0" w:after="60" w:line="276" w:lineRule="auto"/>
      </w:pPr>
      <w:r>
        <w:rPr>
          <w:rFonts w:ascii="Arial" w:hAnsi="Arial"/>
          <w:b/>
          <w:color w:val="1A202C"/>
          <w:sz w:val="19"/>
        </w:rPr>
        <w:t xml:space="preserve">Interactive Modals: </w:t>
      </w:r>
      <w:r>
        <w:rPr>
          <w:rFonts w:ascii="Georgia" w:hAnsi="Georgia"/>
          <w:color w:val="2D3748"/>
          <w:sz w:val="19"/>
        </w:rPr>
        <w:t>Implement a modal dialog for BibTeX citations with an instant 'Copy to Clipboard' button that triggers a toast notification ('BibTeX copied successfully!').</w:t>
      </w:r>
    </w:p>
    <w:p>
      <w:pPr>
        <w:pStyle w:val="ListBullet"/>
        <w:spacing w:before="0" w:after="60" w:line="276" w:lineRule="auto"/>
      </w:pPr>
      <w:r>
        <w:rPr>
          <w:rFonts w:ascii="Arial" w:hAnsi="Arial"/>
          <w:b/>
          <w:color w:val="1A202C"/>
          <w:sz w:val="19"/>
        </w:rPr>
        <w:t xml:space="preserve">Filterable Publications: </w:t>
      </w:r>
      <w:r>
        <w:rPr>
          <w:rFonts w:ascii="Georgia" w:hAnsi="Georgia"/>
          <w:color w:val="2D3748"/>
          <w:sz w:val="19"/>
        </w:rPr>
        <w:t>Provide tab filters on the publications page: [All (10)], [Journals (1)], [Accepted (1)], [Conferences (4)], [Under Review (4)].</w:t>
      </w:r>
    </w:p>
    <w:p>
      <w:pPr>
        <w:pStyle w:val="ListBullet"/>
        <w:spacing w:before="0" w:after="60" w:line="276" w:lineRule="auto"/>
      </w:pPr>
      <w:r>
        <w:rPr>
          <w:rFonts w:ascii="Arial" w:hAnsi="Arial"/>
          <w:b/>
          <w:color w:val="1A202C"/>
          <w:sz w:val="19"/>
        </w:rPr>
        <w:t xml:space="preserve">Mobile Responsiveness: </w:t>
      </w:r>
      <w:r>
        <w:rPr>
          <w:rFonts w:ascii="Georgia" w:hAnsi="Georgia"/>
          <w:color w:val="2D3748"/>
          <w:sz w:val="19"/>
        </w:rPr>
        <w:t>Ensure 100% responsive fluid grid layout across smartphones, tablets, and wide monitors. Test touch-friendly navigation drawer.</w:t>
      </w:r>
    </w:p>
    <w:p>
      <w:pPr>
        <w:pStyle w:val="ListBullet"/>
        <w:spacing w:before="0" w:after="60" w:line="276" w:lineRule="auto"/>
      </w:pPr>
      <w:r>
        <w:rPr>
          <w:rFonts w:ascii="Arial" w:hAnsi="Arial"/>
          <w:b/>
          <w:color w:val="1A202C"/>
          <w:sz w:val="19"/>
        </w:rPr>
        <w:t xml:space="preserve">SEO Meta Tags: </w:t>
      </w:r>
      <w:r>
        <w:rPr>
          <w:rFonts w:ascii="Georgia" w:hAnsi="Georgia"/>
          <w:color w:val="2D3748"/>
          <w:sz w:val="19"/>
        </w:rPr>
        <w:t>Embed complete OpenGraph and Twitter Card metadata on every page, tagging 'Mohcine Baalla', 'ENSIAS', 'SIoT Trust Management', and 'Cybersecurity Researcher'.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