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36"/>
          <w:szCs w:val="36"/>
        </w:rPr>
        <w:t xml:space="preserve">Vendor MSA — TechCo × Clauseium Pvt Ltd</w:t>
      </w:r>
    </w:p>
    <w:p>
      <w:pPr>
        <w:spacing w:after="120"/>
        <w:jc w:val="center"/>
      </w:pPr>
      <w:r>
        <w:rPr>
          <w:color w:val="6b7280"/>
          <w:sz w:val="20"/>
          <w:szCs w:val="20"/>
        </w:rPr>
        <w:t xml:space="preserve">Master Services Agreement · v2</w:t>
      </w:r>
    </w:p>
    <w:p>
      <w:pPr>
        <w:spacing w:after="480"/>
        <w:jc w:val="center"/>
      </w:pPr>
      <w:r>
        <w:rPr>
          <w:color w:val="6b7280"/>
          <w:sz w:val="18"/>
          <w:szCs w:val="18"/>
        </w:rPr>
        <w:t xml:space="preserve">Between: Acme Cloud Services Pvt Ltd    Governing law: Laws of India</w:t>
      </w:r>
    </w:p>
    <w:p>
      <w:pPr>
        <w:pStyle w:val="Heading2"/>
        <w:spacing w:after="120" w:before="320"/>
      </w:pPr>
      <w:r>
        <w:rPr>
          <w:b/>
          <w:bCs/>
        </w:rPr>
        <w:t xml:space="preserve">§ 14.2  Limitation of Liability</w:t>
      </w:r>
    </w:p>
    <w:p>
      <w:pPr>
        <w:spacing w:after="120" w:line="320"/>
      </w:pPr>
      <w:r>
        <w:t xml:space="preserve">Notwithstanding anything to the contrary, the aggregate liability of the Service Provider arising out of or in connection with this Agreement shall not exceed an amount equal to three (3) months of fees paid by the Customer in the twelve (12) months preceding the event giving rise to the claim.</w:t>
      </w:r>
    </w:p>
    <w:p>
      <w:pPr>
        <w:pStyle w:val="Heading2"/>
        <w:spacing w:after="120" w:before="320"/>
      </w:pPr>
      <w:r>
        <w:rPr>
          <w:b/>
          <w:bCs/>
        </w:rPr>
        <w:t xml:space="preserve">§ 8.3  Data Protection</w:t>
      </w:r>
    </w:p>
    <w:p>
      <w:pPr>
        <w:spacing w:after="120" w:line="320"/>
      </w:pPr>
      <w:r>
        <w:t xml:space="preserve">The Service Provider shall implement reasonable security practices to protect Personal Data processed under this Agreement and shall comply with applicable data protection laws.</w:t>
      </w:r>
    </w:p>
    <w:p>
      <w:pPr>
        <w:pStyle w:val="Heading2"/>
        <w:spacing w:after="120" w:before="320"/>
      </w:pPr>
      <w:r>
        <w:rPr>
          <w:b/>
          <w:bCs/>
        </w:rPr>
        <w:t xml:space="preserve">§ 12.1  Indemnification</w:t>
      </w:r>
    </w:p>
    <w:p>
      <w:pPr>
        <w:spacing w:after="120" w:line="320"/>
      </w:pPr>
      <w:r>
        <w:t xml:space="preserve">The Customer shall indemnify, defend and hold harmless the Service Provider from and against any and all third-party claims, damages, losses and expenses arising out of or in connection with the Customer's use of the Services.</w:t>
      </w:r>
    </w:p>
    <w:p>
      <w:pPr>
        <w:pStyle w:val="Heading2"/>
        <w:spacing w:after="120" w:before="320"/>
      </w:pPr>
      <w:r>
        <w:rPr>
          <w:b/>
          <w:bCs/>
        </w:rPr>
        <w:t xml:space="preserve">§ 16.4  Auto-renewal</w:t>
      </w:r>
    </w:p>
    <w:p>
      <w:pPr>
        <w:spacing w:after="120" w:line="320"/>
      </w:pPr>
      <w:r>
        <w:t xml:space="preserve">This Agreement shall automatically renew for successive periods of one (1) year unless either Party provides written notice of non-renewal at least ninety (90) days prior to the expiration of the then-current term.</w:t>
      </w:r>
    </w:p>
    <w:p>
      <w:pPr>
        <w:pStyle w:val="Heading2"/>
        <w:spacing w:after="120" w:before="320"/>
      </w:pPr>
      <w:r>
        <w:rPr>
          <w:b/>
          <w:bCs/>
        </w:rPr>
        <w:t xml:space="preserve">§ 21.1  Governing Law</w:t>
      </w:r>
    </w:p>
    <w:p>
      <w:pPr>
        <w:spacing w:after="120" w:line="320"/>
      </w:pPr>
      <w:r>
        <w:t xml:space="preserve">This Agreement shall be governed by and construed in accordance with the laws of India, without regard to its conflict of laws principles.</w:t>
      </w:r>
    </w:p>
    <w:p>
      <w:pPr>
        <w:pStyle w:val="Heading2"/>
        <w:spacing w:after="120" w:before="320"/>
      </w:pPr>
      <w:r>
        <w:rPr>
          <w:b/>
          <w:bCs/>
        </w:rPr>
        <w:t xml:space="preserve">§ 21.2  Arbitration</w:t>
      </w:r>
    </w:p>
    <w:p>
      <w:pPr>
        <w:spacing w:after="120" w:line="320"/>
      </w:pPr>
      <w:r>
        <w:t xml:space="preserve">Any dispute arising out of this Agreement shall be referred to and finally resolved by arbitration administered by the Singapore International Arbitration Centre (SIAC) in accordance with the SIAC Rules then in force.</w:t>
      </w:r>
    </w:p>
    <w:p>
      <w:pPr>
        <w:pStyle w:val="Heading2"/>
        <w:spacing w:after="120" w:before="320"/>
      </w:pPr>
      <w:r>
        <w:rPr>
          <w:b/>
          <w:bCs/>
        </w:rPr>
        <w:t xml:space="preserve">§ 9.1  IP Assignment</w:t>
      </w:r>
    </w:p>
    <w:p>
      <w:pPr>
        <w:spacing w:after="120" w:line="320"/>
      </w:pPr>
      <w:r>
        <w:t xml:space="preserve">All intellectual property rights in deliverables created by the Service Provider in the course of performing the Services shall be assigned to the Customer upon payment in full.</w:t>
      </w:r>
    </w:p>
    <w:p>
      <w:pPr>
        <w:pStyle w:val="Heading2"/>
        <w:spacing w:after="120" w:before="320"/>
      </w:pPr>
      <w:r>
        <w:rPr>
          <w:b/>
          <w:bCs/>
        </w:rPr>
        <w:t xml:space="preserve">§ 11.3  Non-compete</w:t>
      </w:r>
    </w:p>
    <w:p>
      <w:pPr>
        <w:spacing w:after="120" w:line="320"/>
      </w:pPr>
      <w:r>
        <w:t xml:space="preserve">For a period of twenty-four (24) months following termination, the Customer shall not engage any competitor of the Service Provider for similar services within India.</w:t>
      </w:r>
    </w:p>
    <w:p>
      <w:pPr>
        <w:pStyle w:val="Heading2"/>
        <w:spacing w:after="120" w:before="320"/>
      </w:pPr>
      <w:r>
        <w:rPr>
          <w:b/>
          <w:bCs/>
        </w:rPr>
        <w:t xml:space="preserve">§ 5.1  Payment Terms</w:t>
      </w:r>
    </w:p>
    <w:p>
      <w:pPr>
        <w:spacing w:after="120" w:line="320"/>
      </w:pPr>
      <w:r>
        <w:t xml:space="preserve">Customer shall pay all undisputed invoices within ninety (90) days of the invoice date.</w:t>
      </w:r>
    </w:p>
    <w:p>
      <w:pPr>
        <w:pStyle w:val="Heading2"/>
        <w:spacing w:after="120" w:before="320"/>
      </w:pPr>
      <w:r>
        <w:rPr>
          <w:b/>
          <w:bCs/>
        </w:rPr>
        <w:t xml:space="preserve">§ 17.2  Force Majeure</w:t>
      </w:r>
    </w:p>
    <w:p>
      <w:pPr>
        <w:spacing w:after="120" w:line="320"/>
      </w:pPr>
      <w:r>
        <w:t xml:space="preserve">Neither Party shall be liable for delay or failure to perform due to causes beyond its reasonable control, including acts of God, war, and natural disasters.</w:t>
      </w:r>
    </w:p>
    <w:p>
      <w:pPr>
        <w:pStyle w:val="Heading2"/>
        <w:spacing w:after="120" w:before="320"/>
      </w:pPr>
      <w:r>
        <w:rPr>
          <w:b/>
          <w:bCs/>
        </w:rPr>
        <w:t xml:space="preserve">§ 13.1  Insurance</w:t>
      </w:r>
    </w:p>
    <w:p>
      <w:pPr>
        <w:spacing w:after="120" w:line="320"/>
      </w:pPr>
      <w:r>
        <w:t xml:space="preserve">The Service Provider shall maintain commercial general liability insurance of not less than INR 5,00,00,000.</w:t>
      </w:r>
    </w:p>
    <w:p>
      <w:pPr>
        <w:pStyle w:val="Heading2"/>
        <w:spacing w:after="120" w:before="320"/>
      </w:pPr>
      <w:r>
        <w:rPr>
          <w:b/>
          <w:bCs/>
        </w:rPr>
        <w:t xml:space="preserve">§ 1.0  Confidentiality</w:t>
      </w:r>
    </w:p>
    <w:p>
      <w:pPr>
        <w:spacing w:after="120" w:line="320"/>
      </w:pPr>
      <w:r>
        <w:t xml:space="preserve">Confidentiality clause as drafted is consistent with market-standard Indian commercial practice and our internal playbook.</w:t>
      </w:r>
    </w:p>
    <w:p>
      <w:pPr>
        <w:pStyle w:val="Heading2"/>
        <w:spacing w:after="120" w:before="320"/>
      </w:pPr>
      <w:r>
        <w:rPr>
          <w:b/>
          <w:bCs/>
        </w:rPr>
        <w:t xml:space="preserve">§ 2.0  Term</w:t>
      </w:r>
    </w:p>
    <w:p>
      <w:pPr>
        <w:spacing w:after="120" w:line="320"/>
      </w:pPr>
      <w:r>
        <w:t xml:space="preserve">Term clause as drafted is consistent with market-standard Indian commercial practice and our internal playbook.</w:t>
      </w:r>
    </w:p>
    <w:p>
      <w:pPr>
        <w:pStyle w:val="Heading2"/>
        <w:spacing w:after="120" w:before="320"/>
      </w:pPr>
      <w:r>
        <w:rPr>
          <w:b/>
          <w:bCs/>
        </w:rPr>
        <w:t xml:space="preserve">§ 3.0  Notices</w:t>
      </w:r>
    </w:p>
    <w:p>
      <w:pPr>
        <w:spacing w:after="120" w:line="320"/>
      </w:pPr>
      <w:r>
        <w:t xml:space="preserve">Notices clause as drafted is consistent with market-standard Indian commercial practice and our internal playbook.</w:t>
      </w:r>
    </w:p>
    <w:p>
      <w:pPr>
        <w:pStyle w:val="Heading2"/>
        <w:spacing w:after="120" w:before="320"/>
      </w:pPr>
      <w:r>
        <w:rPr>
          <w:b/>
          <w:bCs/>
        </w:rPr>
        <w:t xml:space="preserve">§ 4.0  Entire Agreement</w:t>
      </w:r>
    </w:p>
    <w:p>
      <w:pPr>
        <w:spacing w:after="120" w:line="320"/>
      </w:pPr>
      <w:r>
        <w:t xml:space="preserve">Entire Agreement clause as drafted is consistent with market-standard Indian commercial practice and our internal playbook.</w:t>
      </w:r>
    </w:p>
    <w:p>
      <w:pPr>
        <w:pStyle w:val="Heading2"/>
        <w:spacing w:after="120" w:before="320"/>
      </w:pPr>
      <w:r>
        <w:rPr>
          <w:b/>
          <w:bCs/>
        </w:rPr>
        <w:t xml:space="preserve">§ 5.0  Amendment</w:t>
      </w:r>
    </w:p>
    <w:p>
      <w:pPr>
        <w:spacing w:after="120" w:line="320"/>
      </w:pPr>
      <w:r>
        <w:t xml:space="preserve">Amendment clause as drafted is consistent with market-standard Indian commercial practice and our internal playbook.</w:t>
      </w:r>
    </w:p>
    <w:p>
      <w:pPr>
        <w:pStyle w:val="Heading2"/>
        <w:spacing w:after="120" w:before="320"/>
      </w:pPr>
      <w:r>
        <w:rPr>
          <w:b/>
          <w:bCs/>
        </w:rPr>
        <w:t xml:space="preserve">§ 6.0  Severability</w:t>
      </w:r>
    </w:p>
    <w:p>
      <w:pPr>
        <w:spacing w:after="120" w:line="320"/>
      </w:pPr>
      <w:r>
        <w:t xml:space="preserve">Severability clause as drafted is consistent with market-standard Indian commercial practice and our internal playbook.</w:t>
      </w:r>
    </w:p>
    <w:p>
      <w:pPr>
        <w:pStyle w:val="Heading2"/>
        <w:spacing w:after="120" w:before="320"/>
      </w:pPr>
      <w:r>
        <w:rPr>
          <w:b/>
          <w:bCs/>
        </w:rPr>
        <w:t xml:space="preserve">§ 7.0  Waiver</w:t>
      </w:r>
    </w:p>
    <w:p>
      <w:pPr>
        <w:spacing w:after="120" w:line="320"/>
      </w:pPr>
      <w:r>
        <w:t xml:space="preserve">Waiver clause as drafted is consistent with market-standard Indian commercial practice and our internal playbook.</w:t>
      </w:r>
    </w:p>
    <w:p>
      <w:pPr>
        <w:pStyle w:val="Heading2"/>
        <w:spacing w:after="120" w:before="320"/>
      </w:pPr>
      <w:r>
        <w:rPr>
          <w:b/>
          <w:bCs/>
        </w:rPr>
        <w:t xml:space="preserve">§ 8.0  Assignment</w:t>
      </w:r>
    </w:p>
    <w:p>
      <w:pPr>
        <w:spacing w:after="120" w:line="320"/>
      </w:pPr>
      <w:r>
        <w:t xml:space="preserve">Assignment clause as drafted is consistent with market-standard Indian commercial practice and our internal playbook.</w:t>
      </w:r>
    </w:p>
    <w:p>
      <w:pPr>
        <w:pStyle w:val="Heading2"/>
        <w:spacing w:after="120" w:before="320"/>
      </w:pPr>
      <w:r>
        <w:rPr>
          <w:b/>
          <w:bCs/>
        </w:rPr>
        <w:t xml:space="preserve">§ 9.0  Counterparts</w:t>
      </w:r>
    </w:p>
    <w:p>
      <w:pPr>
        <w:spacing w:after="120" w:line="320"/>
      </w:pPr>
      <w:r>
        <w:t xml:space="preserve">Counterparts clause as drafted is consistent with market-standard Indian commercial practice and our internal playbook.</w:t>
      </w:r>
    </w:p>
    <w:p>
      <w:pPr>
        <w:pStyle w:val="Heading2"/>
        <w:spacing w:after="120" w:before="320"/>
      </w:pPr>
      <w:r>
        <w:rPr>
          <w:b/>
          <w:bCs/>
        </w:rPr>
        <w:t xml:space="preserve">§ 10.0  Survival</w:t>
      </w:r>
    </w:p>
    <w:p>
      <w:pPr>
        <w:spacing w:after="120" w:line="320"/>
      </w:pPr>
      <w:r>
        <w:t xml:space="preserve">Survival clause as drafted is consistent with market-standard Indian commercial practice and our internal playbook.</w:t>
      </w:r>
    </w:p>
    <w:p>
      <w:pPr>
        <w:pStyle w:val="Heading2"/>
        <w:spacing w:after="120" w:before="320"/>
      </w:pPr>
      <w:r>
        <w:rPr>
          <w:b/>
          <w:bCs/>
        </w:rPr>
        <w:t xml:space="preserve">§ 11.0  Headings</w:t>
      </w:r>
    </w:p>
    <w:p>
      <w:pPr>
        <w:spacing w:after="120" w:line="320"/>
      </w:pPr>
      <w:r>
        <w:t xml:space="preserve">Headings clause as drafted is consistent with market-standard Indian commercial practice and our internal playbook.</w:t>
      </w:r>
    </w:p>
    <w:p>
      <w:pPr>
        <w:pStyle w:val="Heading2"/>
        <w:spacing w:after="120" w:before="320"/>
      </w:pPr>
      <w:r>
        <w:rPr>
          <w:b/>
          <w:bCs/>
        </w:rPr>
        <w:t xml:space="preserve">§ 12.0  Interpretation</w:t>
      </w:r>
    </w:p>
    <w:p>
      <w:pPr>
        <w:spacing w:after="120" w:line="320"/>
      </w:pPr>
      <w:r>
        <w:t xml:space="preserve">Interpretation clause as drafted is consistent with market-standard Indian commercial practice and our internal playbook.</w:t>
      </w:r>
    </w:p>
    <w:p>
      <w:pPr>
        <w:pStyle w:val="Heading2"/>
        <w:spacing w:after="120" w:before="320"/>
      </w:pPr>
      <w:r>
        <w:rPr>
          <w:b/>
          <w:bCs/>
        </w:rPr>
        <w:t xml:space="preserve">§ 13.0  Definitions</w:t>
      </w:r>
    </w:p>
    <w:p>
      <w:pPr>
        <w:spacing w:after="120" w:line="320"/>
      </w:pPr>
      <w:r>
        <w:t xml:space="preserve">Definitions clause as drafted is consistent with market-standard Indian commercial practice and our internal playbook.</w:t>
      </w:r>
    </w:p>
    <w:p>
      <w:pPr>
        <w:pStyle w:val="Heading2"/>
        <w:spacing w:after="120" w:before="320"/>
      </w:pPr>
      <w:r>
        <w:rPr>
          <w:b/>
          <w:bCs/>
        </w:rPr>
        <w:t xml:space="preserve">§ 14.0  Acceptance</w:t>
      </w:r>
    </w:p>
    <w:p>
      <w:pPr>
        <w:spacing w:after="120" w:line="320"/>
      </w:pPr>
      <w:r>
        <w:t xml:space="preserve">Acceptance clause as drafted is consistent with market-standard Indian commercial practice and our internal playbook.</w:t>
      </w:r>
    </w:p>
    <w:p>
      <w:pPr>
        <w:pStyle w:val="Heading2"/>
        <w:spacing w:after="120" w:before="320"/>
      </w:pPr>
      <w:r>
        <w:rPr>
          <w:b/>
          <w:bCs/>
        </w:rPr>
        <w:t xml:space="preserve">§ 15.0  Service Levels</w:t>
      </w:r>
    </w:p>
    <w:p>
      <w:pPr>
        <w:spacing w:after="120" w:line="320"/>
      </w:pPr>
      <w:r>
        <w:t xml:space="preserve">Service Levels clause as drafted is consistent with market-standard Indian commercial practice and our internal playbook.</w:t>
      </w:r>
    </w:p>
    <w:p>
      <w:pPr>
        <w:pStyle w:val="Heading2"/>
        <w:spacing w:after="120" w:before="320"/>
      </w:pPr>
      <w:r>
        <w:rPr>
          <w:b/>
          <w:bCs/>
        </w:rPr>
        <w:t xml:space="preserve">§ 16.0  Acceptable Use</w:t>
      </w:r>
    </w:p>
    <w:p>
      <w:pPr>
        <w:spacing w:after="120" w:line="320"/>
      </w:pPr>
      <w:r>
        <w:t xml:space="preserve">Acceptable Use clause as drafted is consistent with market-standard Indian commercial practice and our internal playbook.</w:t>
      </w:r>
    </w:p>
    <w:p>
      <w:pPr>
        <w:pStyle w:val="Heading2"/>
        <w:spacing w:after="120" w:before="320"/>
      </w:pPr>
      <w:r>
        <w:rPr>
          <w:b/>
          <w:bCs/>
        </w:rPr>
        <w:t xml:space="preserve">§ 17.0  Suspension</w:t>
      </w:r>
    </w:p>
    <w:p>
      <w:pPr>
        <w:spacing w:after="120" w:line="320"/>
      </w:pPr>
      <w:r>
        <w:t xml:space="preserve">Suspension clause as drafted is consistent with market-standard Indian commercial practice and our internal playbook.</w:t>
      </w:r>
    </w:p>
    <w:p>
      <w:pPr>
        <w:pStyle w:val="Heading2"/>
        <w:spacing w:after="120" w:before="320"/>
      </w:pPr>
      <w:r>
        <w:rPr>
          <w:b/>
          <w:bCs/>
        </w:rPr>
        <w:t xml:space="preserve">§ 18.0  Cooperation</w:t>
      </w:r>
    </w:p>
    <w:p>
      <w:pPr>
        <w:spacing w:after="120" w:line="320"/>
      </w:pPr>
      <w:r>
        <w:t xml:space="preserve">Cooperation clause as drafted is consistent with market-standard Indian commercial practice and our internal playbook.</w:t>
      </w:r>
    </w:p>
    <w:p>
      <w:pPr>
        <w:pStyle w:val="Heading2"/>
        <w:spacing w:after="120" w:before="320"/>
      </w:pPr>
      <w:r>
        <w:rPr>
          <w:b/>
          <w:bCs/>
        </w:rPr>
        <w:t xml:space="preserve">§ 19.0  Audit</w:t>
      </w:r>
    </w:p>
    <w:p>
      <w:pPr>
        <w:spacing w:after="120" w:line="320"/>
      </w:pPr>
      <w:r>
        <w:t xml:space="preserve">Audit clause as drafted is consistent with market-standard Indian commercial practice and our internal playbook.</w:t>
      </w:r>
    </w:p>
    <w:p>
      <w:pPr>
        <w:pStyle w:val="Heading2"/>
        <w:spacing w:after="120" w:before="320"/>
      </w:pPr>
      <w:r>
        <w:rPr>
          <w:b/>
          <w:bCs/>
        </w:rPr>
        <w:t xml:space="preserve">§ 20.0  Records</w:t>
      </w:r>
    </w:p>
    <w:p>
      <w:pPr>
        <w:spacing w:after="120" w:line="320"/>
      </w:pPr>
      <w:r>
        <w:t xml:space="preserve">Records clause as drafted is consistent with market-standard Indian commercial practice and our internal playbook.</w:t>
      </w:r>
    </w:p>
    <w:p>
      <w:pPr>
        <w:pStyle w:val="Heading2"/>
        <w:spacing w:after="120" w:before="320"/>
      </w:pPr>
      <w:r>
        <w:rPr>
          <w:b/>
          <w:bCs/>
        </w:rPr>
        <w:t xml:space="preserve">§ 21.0  Subcontracting</w:t>
      </w:r>
    </w:p>
    <w:p>
      <w:pPr>
        <w:spacing w:after="120" w:line="320"/>
      </w:pPr>
      <w:r>
        <w:t xml:space="preserve">Subcontracting clause as drafted is consistent with market-standard Indian commercial practice and our internal playbook.</w:t>
      </w:r>
    </w:p>
    <w:p>
      <w:pPr>
        <w:pStyle w:val="Heading2"/>
        <w:spacing w:after="120" w:before="320"/>
      </w:pPr>
      <w:r>
        <w:rPr>
          <w:b/>
          <w:bCs/>
        </w:rPr>
        <w:t xml:space="preserve">§ 22.0  Publicity</w:t>
      </w:r>
    </w:p>
    <w:p>
      <w:pPr>
        <w:spacing w:after="120" w:line="320"/>
      </w:pPr>
      <w:r>
        <w:t xml:space="preserve">Publicity clause as drafted is consistent with market-standard Indian commercial practice and our internal playbook.</w:t>
      </w:r>
    </w:p>
    <w:p>
      <w:pPr>
        <w:pStyle w:val="Heading2"/>
        <w:spacing w:after="120" w:before="320"/>
      </w:pPr>
      <w:r>
        <w:rPr>
          <w:b/>
          <w:bCs/>
        </w:rPr>
        <w:t xml:space="preserve">§ 23.0  Independent Contractor</w:t>
      </w:r>
    </w:p>
    <w:p>
      <w:pPr>
        <w:spacing w:after="120" w:line="320"/>
      </w:pPr>
      <w:r>
        <w:t xml:space="preserve">Independent Contractor clause as drafted is consistent with market-standard Indian commercial practice and our internal playbook.</w:t>
      </w:r>
    </w:p>
    <w:p>
      <w:pPr>
        <w:pStyle w:val="Heading2"/>
        <w:spacing w:after="120" w:before="320"/>
      </w:pPr>
      <w:r>
        <w:rPr>
          <w:b/>
          <w:bCs/>
        </w:rPr>
        <w:t xml:space="preserve">§ 24.0  No Third-Party Beneficiaries</w:t>
      </w:r>
    </w:p>
    <w:p>
      <w:pPr>
        <w:spacing w:after="120" w:line="320"/>
      </w:pPr>
      <w:r>
        <w:t xml:space="preserve">No Third-Party Beneficiaries clause as drafted is consistent with market-standard Indian commercial practice and our internal playbook.</w:t>
      </w:r>
    </w:p>
    <w:p>
      <w:pPr>
        <w:spacing w:after="120" w:before="720"/>
      </w:pPr>
      <w:r>
        <w:rPr>
          <w:color w:val="6b7280"/>
          <w:sz w:val="16"/>
          <w:szCs w:val="16"/>
        </w:rPr>
        <w:t xml:space="preserve">Prepared with Clauseium · Sunday, 3 May 2026</w:t>
      </w:r>
    </w:p>
    <w:p>
      <w:r>
        <w:rPr>
          <w:i/>
          <w:iCs/>
          <w:color w:val="6b7280"/>
          <w:sz w:val="16"/>
          <w:szCs w:val="16"/>
        </w:rPr>
        <w:t xml:space="preserve">This document contains legal information and analysis generated by AI based on the contract supplied. It is not a substitute for review by qualified counsel and does not constitute solicitor-client communication. Citations are drawn from Indian statutes including the Indian Contract Act, 1872 and the Digital Personal Data Protection Act, 2023; reviewers should verify each citation against the latest published source before relying on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MSA — TechCo × Clauseium Pvt Ltd</dc:title>
  <dc:creator>Clauseium</dc:creator>
  <dc:description>Clean export of Vendor MSA — TechCo × Clauseium Pvt Ltd</dc:description>
  <cp:lastModifiedBy>Un-named</cp:lastModifiedBy>
  <cp:revision>1</cp:revision>
  <dcterms:created xsi:type="dcterms:W3CDTF">2026-05-02T22:30:49.995Z</dcterms:created>
  <dcterms:modified xsi:type="dcterms:W3CDTF">2026-05-02T22:30:49.995Z</dcterms:modified>
</cp:coreProperties>
</file>

<file path=docProps/custom.xml><?xml version="1.0" encoding="utf-8"?>
<Properties xmlns="http://schemas.openxmlformats.org/officeDocument/2006/custom-properties" xmlns:vt="http://schemas.openxmlformats.org/officeDocument/2006/docPropsVTypes"/>
</file>