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029AC" w14:textId="60E58596" w:rsidR="00BA7FA5" w:rsidRDefault="00542700" w:rsidP="00BA7FA5">
      <w:pPr>
        <w:jc w:val="center"/>
        <w:rPr>
          <w:rFonts w:hint="eastAsia"/>
        </w:rPr>
      </w:pPr>
      <w:r>
        <w:rPr>
          <w:rFonts w:ascii="Sora" w:hAnsi="Sora"/>
          <w:b/>
          <w:noProof/>
          <w:color w:val="080B0B"/>
          <w:sz w:val="84"/>
        </w:rPr>
        <w:drawing>
          <wp:anchor distT="0" distB="0" distL="114300" distR="114300" simplePos="0" relativeHeight="251658240" behindDoc="0" locked="0" layoutInCell="1" allowOverlap="1" wp14:anchorId="6042BAC2" wp14:editId="64A5BE07">
            <wp:simplePos x="685800" y="594360"/>
            <wp:positionH relativeFrom="margin">
              <wp:align>left</wp:align>
            </wp:positionH>
            <wp:positionV relativeFrom="margin">
              <wp:align>top</wp:align>
            </wp:positionV>
            <wp:extent cx="2244725" cy="2301240"/>
            <wp:effectExtent l="0" t="0" r="0" b="0"/>
            <wp:wrapSquare wrapText="bothSides"/>
            <wp:docPr id="400715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5059" name="Picture 4007150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6323" cy="235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FA5">
        <w:rPr>
          <w:rFonts w:ascii="Sora" w:hAnsi="Sora"/>
          <w:b/>
          <w:color w:val="080B0B"/>
          <w:sz w:val="84"/>
        </w:rPr>
        <w:t>GENRA</w:t>
      </w:r>
    </w:p>
    <w:p w14:paraId="5D4B914F" w14:textId="77777777" w:rsidR="00BA7FA5" w:rsidRDefault="00BA7FA5" w:rsidP="00BA7FA5">
      <w:pPr>
        <w:jc w:val="center"/>
        <w:rPr>
          <w:rFonts w:hint="eastAsia"/>
        </w:rPr>
      </w:pPr>
      <w:r>
        <w:rPr>
          <w:b/>
          <w:color w:val="374151"/>
          <w:sz w:val="22"/>
        </w:rPr>
        <w:t>BRAND IDENTITY &amp; VISUAL SYSTEM</w:t>
      </w:r>
    </w:p>
    <w:p w14:paraId="5B80906B" w14:textId="2D485C17" w:rsidR="00BA7FA5" w:rsidRDefault="00BA7FA5" w:rsidP="00BA7FA5">
      <w:pPr>
        <w:jc w:val="center"/>
        <w:rPr>
          <w:color w:val="6B7280"/>
          <w:sz w:val="20"/>
        </w:rPr>
      </w:pPr>
      <w:r>
        <w:rPr>
          <w:color w:val="6B7280"/>
          <w:sz w:val="20"/>
        </w:rPr>
        <w:t>A practical foundation for GENRA's digital, product, and communication identity.</w:t>
      </w:r>
    </w:p>
    <w:p w14:paraId="3B64D8D6" w14:textId="29A75C9E" w:rsidR="00BA7FA5" w:rsidRDefault="00BA7FA5" w:rsidP="00BA7FA5">
      <w:pPr>
        <w:jc w:val="center"/>
        <w:rPr>
          <w:b/>
          <w:bCs/>
          <w:color w:val="34D399"/>
          <w:sz w:val="28"/>
          <w:szCs w:val="32"/>
        </w:rPr>
      </w:pPr>
      <w:r w:rsidRPr="00BA7FA5">
        <w:rPr>
          <w:b/>
          <w:bCs/>
          <w:color w:val="34D399"/>
          <w:sz w:val="28"/>
          <w:szCs w:val="32"/>
        </w:rPr>
        <w:t>Build. Automate. Advance.</w:t>
      </w:r>
    </w:p>
    <w:p w14:paraId="41536322" w14:textId="62C63852" w:rsidR="00BA7FA5" w:rsidRDefault="00542700" w:rsidP="00542700">
      <w:pPr>
        <w:jc w:val="center"/>
        <w:rPr>
          <w:b/>
          <w:bCs/>
          <w:color w:val="34D399"/>
          <w:sz w:val="28"/>
          <w:szCs w:val="32"/>
        </w:rPr>
      </w:pPr>
      <w:r w:rsidRPr="00542700">
        <w:rPr>
          <w:b/>
          <w:bCs/>
          <w:color w:val="34D399"/>
          <w:sz w:val="28"/>
          <w:szCs w:val="32"/>
        </w:rPr>
        <w:t>You bring the idea. We make it happen</w:t>
      </w:r>
    </w:p>
    <w:p w14:paraId="7949F5A3" w14:textId="77777777" w:rsidR="00542700" w:rsidRPr="00BA7FA5" w:rsidRDefault="00542700" w:rsidP="00542700">
      <w:pPr>
        <w:jc w:val="center"/>
        <w:rPr>
          <w:rFonts w:hint="eastAsia"/>
          <w:b/>
          <w:bCs/>
          <w:color w:val="34D399"/>
          <w:sz w:val="28"/>
          <w:szCs w:val="32"/>
        </w:rPr>
      </w:pPr>
    </w:p>
    <w:p w14:paraId="02AEB639" w14:textId="77777777" w:rsidR="00BA7FA5" w:rsidRPr="00BA7FA5" w:rsidRDefault="00BA7FA5" w:rsidP="00BA7FA5">
      <w:pPr>
        <w:pStyle w:val="Heading1"/>
        <w:rPr>
          <w:rFonts w:ascii="Sora" w:hAnsi="Sora"/>
          <w:vanish/>
          <w:color w:val="10B981"/>
          <w:sz w:val="28"/>
          <w:lang w:val="en-IN"/>
        </w:rPr>
      </w:pPr>
    </w:p>
    <w:p w14:paraId="4BD96F48" w14:textId="32603CE9" w:rsidR="0027539A" w:rsidRDefault="00000000">
      <w:pPr>
        <w:pStyle w:val="Heading1"/>
      </w:pPr>
      <w:r>
        <w:t>1. Brand Foundation</w:t>
      </w:r>
    </w:p>
    <w:p w14:paraId="6F8F0647" w14:textId="77777777" w:rsidR="0027539A" w:rsidRDefault="00000000">
      <w:pPr>
        <w:rPr>
          <w:rFonts w:hint="eastAsia"/>
        </w:rPr>
      </w:pPr>
      <w:r>
        <w:t>GENRA is positioned as a modern technology company focused on turning ideas and opportunities into practical outcomes through software, AI, automation, and intelligent execution.</w:t>
      </w:r>
    </w:p>
    <w:p w14:paraId="5CF0CBED" w14:textId="77777777" w:rsidR="0027539A" w:rsidRDefault="00000000">
      <w:pPr>
        <w:pStyle w:val="Heading2"/>
      </w:pPr>
      <w:r>
        <w:t>Brand personality</w:t>
      </w:r>
    </w:p>
    <w:p w14:paraId="1CCC1FF0" w14:textId="77777777" w:rsidR="0027539A" w:rsidRDefault="00000000">
      <w:pPr>
        <w:rPr>
          <w:rFonts w:hint="eastAsia"/>
        </w:rPr>
      </w:pPr>
      <w:r>
        <w:t>Intelligent • Capable • Modern • Confident • Approachable • Fast • Curious</w:t>
      </w:r>
    </w:p>
    <w:p w14:paraId="5DF1EFAF" w14:textId="77777777" w:rsidR="0027539A" w:rsidRDefault="00000000">
      <w:pPr>
        <w:rPr>
          <w:rFonts w:hint="eastAsia"/>
        </w:rPr>
      </w:pPr>
      <w:r>
        <w:t>GENRA should feel technologically advanced without becoming cold, robotic, or overly futuristic. The identity is deliberately restrained: the logo stays simple while the wider brand environment can introduce subtle depth, motion, light, and gradients.</w:t>
      </w:r>
    </w:p>
    <w:p w14:paraId="258500F1" w14:textId="77777777" w:rsidR="0027539A" w:rsidRDefault="00000000">
      <w:pPr>
        <w:pStyle w:val="Heading1"/>
      </w:pPr>
      <w:r>
        <w:t>2. Logo System</w:t>
      </w:r>
    </w:p>
    <w:p w14:paraId="7A81D465" w14:textId="77777777" w:rsidR="0027539A" w:rsidRDefault="00000000">
      <w:pPr>
        <w:rPr>
          <w:rFonts w:hint="eastAsia"/>
        </w:rPr>
      </w:pPr>
      <w:r>
        <w:t>The GENRA symbol is an abstract, symmetrical mark built from opposing curved forms and a central dot. It is intentionally non-literal: it does not need to look like a letter G or an obvious AI symbol. Its role is to become a distinctive visual signature associated with GENRA.</w:t>
      </w:r>
    </w:p>
    <w:p w14:paraId="61BE2565" w14:textId="77777777" w:rsidR="0027539A" w:rsidRDefault="00000000">
      <w:pPr>
        <w:pStyle w:val="Heading2"/>
      </w:pPr>
      <w:r>
        <w:t>Approved logo variants</w:t>
      </w:r>
    </w:p>
    <w:p w14:paraId="56AD7386" w14:textId="77777777" w:rsidR="0027539A" w:rsidRDefault="00000000">
      <w:pPr>
        <w:pStyle w:val="ListBullet"/>
        <w:rPr>
          <w:rFonts w:hint="eastAsia"/>
        </w:rPr>
      </w:pPr>
      <w:r>
        <w:t>Primary logo — dark emblem + GENRA wordmark on Ivory/light backgrounds.</w:t>
      </w:r>
    </w:p>
    <w:p w14:paraId="5735C1BB" w14:textId="77777777" w:rsidR="0027539A" w:rsidRDefault="00000000">
      <w:pPr>
        <w:pStyle w:val="ListBullet"/>
        <w:rPr>
          <w:rFonts w:hint="eastAsia"/>
        </w:rPr>
      </w:pPr>
      <w:r>
        <w:t>Dark logo — Ivory emblem + wordmark on Obsidian backgrounds.</w:t>
      </w:r>
    </w:p>
    <w:p w14:paraId="44560BE8" w14:textId="77777777" w:rsidR="0027539A" w:rsidRDefault="00000000">
      <w:pPr>
        <w:pStyle w:val="ListBullet"/>
        <w:rPr>
          <w:rFonts w:hint="eastAsia"/>
        </w:rPr>
      </w:pPr>
      <w:r>
        <w:t>Accent logo — Mint/teal gradient emblem with restrained accent treatment for hero and marketing applications.</w:t>
      </w:r>
    </w:p>
    <w:p w14:paraId="3413AF7B" w14:textId="77777777" w:rsidR="0027539A" w:rsidRDefault="00000000">
      <w:pPr>
        <w:pStyle w:val="ListBullet"/>
        <w:rPr>
          <w:rFonts w:hint="eastAsia"/>
        </w:rPr>
      </w:pPr>
      <w:r>
        <w:t>Monochrome logo — 100% black or 100% white for print, embossing, stamps, and constrained applications.</w:t>
      </w:r>
    </w:p>
    <w:p w14:paraId="723FC03F" w14:textId="77777777" w:rsidR="0027539A" w:rsidRDefault="00000000">
      <w:pPr>
        <w:pStyle w:val="ListBullet"/>
        <w:rPr>
          <w:rFonts w:hint="eastAsia"/>
        </w:rPr>
      </w:pPr>
      <w:r>
        <w:t>Icon-only mark — emblem without the wordmark for favicon, app icon, social avatar, and compact UI.</w:t>
      </w:r>
    </w:p>
    <w:p w14:paraId="12BF246E" w14:textId="77777777" w:rsidR="0027539A" w:rsidRDefault="00000000">
      <w:pPr>
        <w:pStyle w:val="Heading2"/>
      </w:pPr>
      <w:r>
        <w:t>Logo usage principles</w:t>
      </w:r>
    </w:p>
    <w:p w14:paraId="49E54708" w14:textId="77777777" w:rsidR="0027539A" w:rsidRDefault="00000000">
      <w:pPr>
        <w:pStyle w:val="ListBullet"/>
        <w:rPr>
          <w:rFonts w:hint="eastAsia"/>
        </w:rPr>
      </w:pPr>
      <w:r>
        <w:t>Preserve generous clear space around the mark.</w:t>
      </w:r>
    </w:p>
    <w:p w14:paraId="7BE2EB26" w14:textId="77777777" w:rsidR="0027539A" w:rsidRDefault="00000000">
      <w:pPr>
        <w:pStyle w:val="ListBullet"/>
        <w:rPr>
          <w:rFonts w:hint="eastAsia"/>
        </w:rPr>
      </w:pPr>
      <w:r>
        <w:t>Do not stretch, skew, rotate, outline, or add decorative effects to the logo.</w:t>
      </w:r>
    </w:p>
    <w:p w14:paraId="4B640A90" w14:textId="77777777" w:rsidR="0027539A" w:rsidRDefault="00000000">
      <w:pPr>
        <w:pStyle w:val="ListBullet"/>
        <w:rPr>
          <w:rFonts w:hint="eastAsia"/>
        </w:rPr>
      </w:pPr>
      <w:r>
        <w:t>Do not place the gradient treatment on every application; it is an accent, not the default.</w:t>
      </w:r>
    </w:p>
    <w:p w14:paraId="57F61698" w14:textId="77777777" w:rsidR="0027539A" w:rsidRDefault="00000000">
      <w:pPr>
        <w:pStyle w:val="ListBullet"/>
        <w:rPr>
          <w:rFonts w:hint="eastAsia"/>
        </w:rPr>
      </w:pPr>
      <w:r>
        <w:t>At very small sizes, prioritize the icon-only mark and simplify only if legibility requires it.</w:t>
      </w:r>
    </w:p>
    <w:p w14:paraId="16CDAEB8" w14:textId="77777777" w:rsidR="0027539A" w:rsidRDefault="00000000">
      <w:pPr>
        <w:pStyle w:val="Heading1"/>
      </w:pPr>
      <w:r>
        <w:lastRenderedPageBreak/>
        <w:t>3. Color System</w:t>
      </w:r>
    </w:p>
    <w:p w14:paraId="6BB49917" w14:textId="77777777" w:rsidR="0027539A" w:rsidRDefault="00000000">
      <w:pPr>
        <w:rPr>
          <w:rFonts w:hint="eastAsia"/>
        </w:rPr>
      </w:pPr>
      <w:r>
        <w:t>GENRA uses a dark-first palette built around Obsidian and Ivory, with Mint as a restrained signature accent. The overall effect should be premium and contemporary rather than neon or overly colorful.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7539A" w14:paraId="107E0124" w14:textId="77777777">
        <w:trPr>
          <w:jc w:val="center"/>
        </w:trPr>
        <w:tc>
          <w:tcPr>
            <w:tcW w:w="2520" w:type="dxa"/>
            <w:shd w:val="clear" w:color="auto" w:fill="080B0B"/>
            <w:vAlign w:val="center"/>
          </w:tcPr>
          <w:p w14:paraId="0A61F5CE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Color</w:t>
            </w:r>
          </w:p>
        </w:tc>
        <w:tc>
          <w:tcPr>
            <w:tcW w:w="2520" w:type="dxa"/>
            <w:shd w:val="clear" w:color="auto" w:fill="080B0B"/>
            <w:vAlign w:val="center"/>
          </w:tcPr>
          <w:p w14:paraId="6B1F896B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HEX</w:t>
            </w:r>
          </w:p>
        </w:tc>
        <w:tc>
          <w:tcPr>
            <w:tcW w:w="2520" w:type="dxa"/>
            <w:shd w:val="clear" w:color="auto" w:fill="080B0B"/>
            <w:vAlign w:val="center"/>
          </w:tcPr>
          <w:p w14:paraId="33E7C6CE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520" w:type="dxa"/>
            <w:shd w:val="clear" w:color="auto" w:fill="080B0B"/>
            <w:vAlign w:val="center"/>
          </w:tcPr>
          <w:p w14:paraId="5DC2AD44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Recommended use</w:t>
            </w:r>
          </w:p>
        </w:tc>
      </w:tr>
      <w:tr w:rsidR="0027539A" w14:paraId="3E44ECBC" w14:textId="77777777">
        <w:trPr>
          <w:jc w:val="center"/>
        </w:trPr>
        <w:tc>
          <w:tcPr>
            <w:tcW w:w="2520" w:type="dxa"/>
            <w:shd w:val="clear" w:color="auto" w:fill="080B0B"/>
            <w:vAlign w:val="center"/>
          </w:tcPr>
          <w:p w14:paraId="4CFE8A15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Obsidian</w:t>
            </w:r>
          </w:p>
        </w:tc>
        <w:tc>
          <w:tcPr>
            <w:tcW w:w="2520" w:type="dxa"/>
            <w:vAlign w:val="center"/>
          </w:tcPr>
          <w:p w14:paraId="5C0436D2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#080B0B</w:t>
            </w:r>
          </w:p>
        </w:tc>
        <w:tc>
          <w:tcPr>
            <w:tcW w:w="2520" w:type="dxa"/>
            <w:vAlign w:val="center"/>
          </w:tcPr>
          <w:p w14:paraId="28B80569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Primary</w:t>
            </w:r>
          </w:p>
        </w:tc>
        <w:tc>
          <w:tcPr>
            <w:tcW w:w="2520" w:type="dxa"/>
            <w:vAlign w:val="center"/>
          </w:tcPr>
          <w:p w14:paraId="36B44EEF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Dark backgrounds, navigation, hero sections, dark logo applications</w:t>
            </w:r>
          </w:p>
        </w:tc>
      </w:tr>
      <w:tr w:rsidR="0027539A" w14:paraId="014B4F2B" w14:textId="77777777">
        <w:trPr>
          <w:jc w:val="center"/>
        </w:trPr>
        <w:tc>
          <w:tcPr>
            <w:tcW w:w="2520" w:type="dxa"/>
            <w:shd w:val="clear" w:color="auto" w:fill="F5F4EF"/>
            <w:vAlign w:val="center"/>
          </w:tcPr>
          <w:p w14:paraId="753AADD4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Ivory</w:t>
            </w:r>
          </w:p>
        </w:tc>
        <w:tc>
          <w:tcPr>
            <w:tcW w:w="2520" w:type="dxa"/>
            <w:vAlign w:val="center"/>
          </w:tcPr>
          <w:p w14:paraId="672B8D6F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#F5F4EF</w:t>
            </w:r>
          </w:p>
        </w:tc>
        <w:tc>
          <w:tcPr>
            <w:tcW w:w="2520" w:type="dxa"/>
            <w:vAlign w:val="center"/>
          </w:tcPr>
          <w:p w14:paraId="0CDDB910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Primary light</w:t>
            </w:r>
          </w:p>
        </w:tc>
        <w:tc>
          <w:tcPr>
            <w:tcW w:w="2520" w:type="dxa"/>
            <w:vAlign w:val="center"/>
          </w:tcPr>
          <w:p w14:paraId="31115735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Light backgrounds, documents, cards, light logo applications</w:t>
            </w:r>
          </w:p>
        </w:tc>
      </w:tr>
      <w:tr w:rsidR="0027539A" w14:paraId="494C6920" w14:textId="77777777">
        <w:trPr>
          <w:jc w:val="center"/>
        </w:trPr>
        <w:tc>
          <w:tcPr>
            <w:tcW w:w="2520" w:type="dxa"/>
            <w:shd w:val="clear" w:color="auto" w:fill="34D399"/>
            <w:vAlign w:val="center"/>
          </w:tcPr>
          <w:p w14:paraId="4128DFF7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GENRA Mint</w:t>
            </w:r>
          </w:p>
        </w:tc>
        <w:tc>
          <w:tcPr>
            <w:tcW w:w="2520" w:type="dxa"/>
            <w:vAlign w:val="center"/>
          </w:tcPr>
          <w:p w14:paraId="5824DB2D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#34D399</w:t>
            </w:r>
          </w:p>
        </w:tc>
        <w:tc>
          <w:tcPr>
            <w:tcW w:w="2520" w:type="dxa"/>
            <w:vAlign w:val="center"/>
          </w:tcPr>
          <w:p w14:paraId="18F9277D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Signature accent</w:t>
            </w:r>
          </w:p>
        </w:tc>
        <w:tc>
          <w:tcPr>
            <w:tcW w:w="2520" w:type="dxa"/>
            <w:vAlign w:val="center"/>
          </w:tcPr>
          <w:p w14:paraId="296CAD98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Buttons, links, logo underline, active states, highlights</w:t>
            </w:r>
          </w:p>
        </w:tc>
      </w:tr>
      <w:tr w:rsidR="0027539A" w14:paraId="3DB6E809" w14:textId="77777777">
        <w:trPr>
          <w:jc w:val="center"/>
        </w:trPr>
        <w:tc>
          <w:tcPr>
            <w:tcW w:w="2520" w:type="dxa"/>
            <w:shd w:val="clear" w:color="auto" w:fill="10B981"/>
            <w:vAlign w:val="center"/>
          </w:tcPr>
          <w:p w14:paraId="1369C05A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Deep Mint</w:t>
            </w:r>
          </w:p>
        </w:tc>
        <w:tc>
          <w:tcPr>
            <w:tcW w:w="2520" w:type="dxa"/>
            <w:vAlign w:val="center"/>
          </w:tcPr>
          <w:p w14:paraId="5B04FA5C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#10B981</w:t>
            </w:r>
          </w:p>
        </w:tc>
        <w:tc>
          <w:tcPr>
            <w:tcW w:w="2520" w:type="dxa"/>
            <w:vAlign w:val="center"/>
          </w:tcPr>
          <w:p w14:paraId="69058811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Accent depth</w:t>
            </w:r>
          </w:p>
        </w:tc>
        <w:tc>
          <w:tcPr>
            <w:tcW w:w="2520" w:type="dxa"/>
            <w:vAlign w:val="center"/>
          </w:tcPr>
          <w:p w14:paraId="1441DC8E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Hover states, gradient depth, secondary accent</w:t>
            </w:r>
          </w:p>
        </w:tc>
      </w:tr>
      <w:tr w:rsidR="0027539A" w14:paraId="1B71049A" w14:textId="77777777">
        <w:trPr>
          <w:jc w:val="center"/>
        </w:trPr>
        <w:tc>
          <w:tcPr>
            <w:tcW w:w="2520" w:type="dxa"/>
            <w:shd w:val="clear" w:color="auto" w:fill="374151"/>
            <w:vAlign w:val="center"/>
          </w:tcPr>
          <w:p w14:paraId="2CF080CE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Graphite</w:t>
            </w:r>
          </w:p>
        </w:tc>
        <w:tc>
          <w:tcPr>
            <w:tcW w:w="2520" w:type="dxa"/>
            <w:vAlign w:val="center"/>
          </w:tcPr>
          <w:p w14:paraId="218A2904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#374151</w:t>
            </w:r>
          </w:p>
        </w:tc>
        <w:tc>
          <w:tcPr>
            <w:tcW w:w="2520" w:type="dxa"/>
            <w:vAlign w:val="center"/>
          </w:tcPr>
          <w:p w14:paraId="4C54518C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Secondary</w:t>
            </w:r>
          </w:p>
        </w:tc>
        <w:tc>
          <w:tcPr>
            <w:tcW w:w="2520" w:type="dxa"/>
            <w:vAlign w:val="center"/>
          </w:tcPr>
          <w:p w14:paraId="59C9528E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Secondary text, UI, icons, borders</w:t>
            </w:r>
          </w:p>
        </w:tc>
      </w:tr>
      <w:tr w:rsidR="0027539A" w14:paraId="6917C57A" w14:textId="77777777">
        <w:trPr>
          <w:jc w:val="center"/>
        </w:trPr>
        <w:tc>
          <w:tcPr>
            <w:tcW w:w="2520" w:type="dxa"/>
            <w:shd w:val="clear" w:color="auto" w:fill="D1D5DB"/>
            <w:vAlign w:val="center"/>
          </w:tcPr>
          <w:p w14:paraId="59CA5AD1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Silver</w:t>
            </w:r>
          </w:p>
        </w:tc>
        <w:tc>
          <w:tcPr>
            <w:tcW w:w="2520" w:type="dxa"/>
            <w:vAlign w:val="center"/>
          </w:tcPr>
          <w:p w14:paraId="430AD9B8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#D1D5DB</w:t>
            </w:r>
          </w:p>
        </w:tc>
        <w:tc>
          <w:tcPr>
            <w:tcW w:w="2520" w:type="dxa"/>
            <w:vAlign w:val="center"/>
          </w:tcPr>
          <w:p w14:paraId="124F40DD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Neutral</w:t>
            </w:r>
          </w:p>
        </w:tc>
        <w:tc>
          <w:tcPr>
            <w:tcW w:w="2520" w:type="dxa"/>
            <w:vAlign w:val="center"/>
          </w:tcPr>
          <w:p w14:paraId="057809AC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Fine borders, disabled states, metadata</w:t>
            </w:r>
          </w:p>
        </w:tc>
      </w:tr>
    </w:tbl>
    <w:p w14:paraId="4FFFC9C9" w14:textId="77777777" w:rsidR="0027539A" w:rsidRDefault="00000000">
      <w:pPr>
        <w:pStyle w:val="Heading2"/>
      </w:pPr>
      <w:r>
        <w:t>Primary gradient</w:t>
      </w:r>
    </w:p>
    <w:p w14:paraId="22ED1683" w14:textId="77777777" w:rsidR="0027539A" w:rsidRDefault="00000000">
      <w:pPr>
        <w:rPr>
          <w:rFonts w:hint="eastAsia"/>
        </w:rPr>
      </w:pPr>
      <w:r>
        <w:t>GENRA Mint → Deep Mint:  #34D399 → #10B981</w:t>
      </w:r>
    </w:p>
    <w:p w14:paraId="7C85680B" w14:textId="77777777" w:rsidR="0027539A" w:rsidRDefault="00000000">
      <w:pPr>
        <w:rPr>
          <w:rFonts w:hint="eastAsia"/>
        </w:rPr>
      </w:pPr>
      <w:r>
        <w:t>Optional marketing gradient: #34D399 → #5EEAD4 → #60A5FA. Use sparingly for atmospheric or premium digital treatments.</w:t>
      </w:r>
    </w:p>
    <w:p w14:paraId="24F560A3" w14:textId="77777777" w:rsidR="0027539A" w:rsidRDefault="00000000">
      <w:pPr>
        <w:pStyle w:val="Heading2"/>
      </w:pPr>
      <w:r>
        <w:t>Color balance</w:t>
      </w:r>
    </w:p>
    <w:p w14:paraId="748923C1" w14:textId="77777777" w:rsidR="0027539A" w:rsidRDefault="00000000">
      <w:pPr>
        <w:rPr>
          <w:rFonts w:hint="eastAsia"/>
        </w:rPr>
      </w:pPr>
      <w:r>
        <w:t>Approximate visual ratio: 50% Obsidian • 35% Ivory • 10% Graphite/Silver • 5% Mint.</w:t>
      </w:r>
    </w:p>
    <w:p w14:paraId="4C2D9B73" w14:textId="77777777" w:rsidR="0027539A" w:rsidRDefault="00000000">
      <w:pPr>
        <w:rPr>
          <w:rFonts w:hint="eastAsia"/>
        </w:rPr>
      </w:pPr>
      <w:r>
        <w:t>The mint should behave like a signal: noticeable and recognizable, but never overwhelming.</w:t>
      </w:r>
    </w:p>
    <w:p w14:paraId="0CB159D5" w14:textId="77777777" w:rsidR="0027539A" w:rsidRDefault="00000000">
      <w:pPr>
        <w:pStyle w:val="Heading1"/>
      </w:pPr>
      <w:r>
        <w:t>4. Typography</w:t>
      </w:r>
    </w:p>
    <w:p w14:paraId="0ACFE5B2" w14:textId="77777777" w:rsidR="0027539A" w:rsidRDefault="00000000">
      <w:pPr>
        <w:rPr>
          <w:rFonts w:hint="eastAsia"/>
        </w:rPr>
      </w:pPr>
      <w:r>
        <w:t>The recommended pairing is Sora for display typography and the GENRA wordmark, with Inter for body copy and interface elements.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7539A" w14:paraId="7D50256E" w14:textId="77777777">
        <w:trPr>
          <w:jc w:val="center"/>
        </w:trPr>
        <w:tc>
          <w:tcPr>
            <w:tcW w:w="2520" w:type="dxa"/>
            <w:shd w:val="clear" w:color="auto" w:fill="080B0B"/>
            <w:vAlign w:val="center"/>
          </w:tcPr>
          <w:p w14:paraId="64ABA2AC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2520" w:type="dxa"/>
            <w:shd w:val="clear" w:color="auto" w:fill="080B0B"/>
            <w:vAlign w:val="center"/>
          </w:tcPr>
          <w:p w14:paraId="278C857D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Font</w:t>
            </w:r>
          </w:p>
        </w:tc>
        <w:tc>
          <w:tcPr>
            <w:tcW w:w="2520" w:type="dxa"/>
            <w:shd w:val="clear" w:color="auto" w:fill="080B0B"/>
            <w:vAlign w:val="center"/>
          </w:tcPr>
          <w:p w14:paraId="54E9E08E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w="2520" w:type="dxa"/>
            <w:shd w:val="clear" w:color="auto" w:fill="080B0B"/>
            <w:vAlign w:val="center"/>
          </w:tcPr>
          <w:p w14:paraId="2B5880C1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Guidance</w:t>
            </w:r>
          </w:p>
        </w:tc>
      </w:tr>
      <w:tr w:rsidR="0027539A" w14:paraId="168C3A3F" w14:textId="77777777">
        <w:trPr>
          <w:jc w:val="center"/>
        </w:trPr>
        <w:tc>
          <w:tcPr>
            <w:tcW w:w="2520" w:type="dxa"/>
            <w:vAlign w:val="center"/>
          </w:tcPr>
          <w:p w14:paraId="06B8EB72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Logo / display</w:t>
            </w:r>
          </w:p>
        </w:tc>
        <w:tc>
          <w:tcPr>
            <w:tcW w:w="2520" w:type="dxa"/>
            <w:vAlign w:val="center"/>
          </w:tcPr>
          <w:p w14:paraId="7F2D18E7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Sora</w:t>
            </w:r>
          </w:p>
        </w:tc>
        <w:tc>
          <w:tcPr>
            <w:tcW w:w="2520" w:type="dxa"/>
            <w:vAlign w:val="center"/>
          </w:tcPr>
          <w:p w14:paraId="0021415F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SemiBold 600</w:t>
            </w:r>
          </w:p>
        </w:tc>
        <w:tc>
          <w:tcPr>
            <w:tcW w:w="2520" w:type="dxa"/>
            <w:vAlign w:val="center"/>
          </w:tcPr>
          <w:p w14:paraId="16D578E9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Wide spacing; clean geometric character</w:t>
            </w:r>
          </w:p>
        </w:tc>
      </w:tr>
      <w:tr w:rsidR="0027539A" w14:paraId="3D7E1F09" w14:textId="77777777">
        <w:trPr>
          <w:jc w:val="center"/>
        </w:trPr>
        <w:tc>
          <w:tcPr>
            <w:tcW w:w="2520" w:type="dxa"/>
            <w:vAlign w:val="center"/>
          </w:tcPr>
          <w:p w14:paraId="1CA33C31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H1 / H2</w:t>
            </w:r>
          </w:p>
        </w:tc>
        <w:tc>
          <w:tcPr>
            <w:tcW w:w="2520" w:type="dxa"/>
            <w:vAlign w:val="center"/>
          </w:tcPr>
          <w:p w14:paraId="3D48DD67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Sora</w:t>
            </w:r>
          </w:p>
        </w:tc>
        <w:tc>
          <w:tcPr>
            <w:tcW w:w="2520" w:type="dxa"/>
            <w:vAlign w:val="center"/>
          </w:tcPr>
          <w:p w14:paraId="2F628DEA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SemiBold 600</w:t>
            </w:r>
          </w:p>
        </w:tc>
        <w:tc>
          <w:tcPr>
            <w:tcW w:w="2520" w:type="dxa"/>
            <w:vAlign w:val="center"/>
          </w:tcPr>
          <w:p w14:paraId="72EB0726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Strong, confident headlines</w:t>
            </w:r>
          </w:p>
        </w:tc>
      </w:tr>
      <w:tr w:rsidR="0027539A" w14:paraId="603C34A6" w14:textId="77777777">
        <w:trPr>
          <w:jc w:val="center"/>
        </w:trPr>
        <w:tc>
          <w:tcPr>
            <w:tcW w:w="2520" w:type="dxa"/>
            <w:vAlign w:val="center"/>
          </w:tcPr>
          <w:p w14:paraId="2A797B35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H3</w:t>
            </w:r>
          </w:p>
        </w:tc>
        <w:tc>
          <w:tcPr>
            <w:tcW w:w="2520" w:type="dxa"/>
            <w:vAlign w:val="center"/>
          </w:tcPr>
          <w:p w14:paraId="1178590D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Sora</w:t>
            </w:r>
          </w:p>
        </w:tc>
        <w:tc>
          <w:tcPr>
            <w:tcW w:w="2520" w:type="dxa"/>
            <w:vAlign w:val="center"/>
          </w:tcPr>
          <w:p w14:paraId="50FD156C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SemiBold 600</w:t>
            </w:r>
          </w:p>
        </w:tc>
        <w:tc>
          <w:tcPr>
            <w:tcW w:w="2520" w:type="dxa"/>
            <w:vAlign w:val="center"/>
          </w:tcPr>
          <w:p w14:paraId="182BB7F0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Section and card headings</w:t>
            </w:r>
          </w:p>
        </w:tc>
      </w:tr>
      <w:tr w:rsidR="0027539A" w14:paraId="75DBBCE3" w14:textId="77777777">
        <w:trPr>
          <w:jc w:val="center"/>
        </w:trPr>
        <w:tc>
          <w:tcPr>
            <w:tcW w:w="2520" w:type="dxa"/>
            <w:vAlign w:val="center"/>
          </w:tcPr>
          <w:p w14:paraId="00BCA292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Body</w:t>
            </w:r>
          </w:p>
        </w:tc>
        <w:tc>
          <w:tcPr>
            <w:tcW w:w="2520" w:type="dxa"/>
            <w:vAlign w:val="center"/>
          </w:tcPr>
          <w:p w14:paraId="5FB55B7B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Inter</w:t>
            </w:r>
          </w:p>
        </w:tc>
        <w:tc>
          <w:tcPr>
            <w:tcW w:w="2520" w:type="dxa"/>
            <w:vAlign w:val="center"/>
          </w:tcPr>
          <w:p w14:paraId="4B837079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Regular 400</w:t>
            </w:r>
          </w:p>
        </w:tc>
        <w:tc>
          <w:tcPr>
            <w:tcW w:w="2520" w:type="dxa"/>
            <w:vAlign w:val="center"/>
          </w:tcPr>
          <w:p w14:paraId="0C7EC1C1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16–18 px digital body copy</w:t>
            </w:r>
          </w:p>
        </w:tc>
      </w:tr>
      <w:tr w:rsidR="0027539A" w14:paraId="0621DC93" w14:textId="77777777">
        <w:trPr>
          <w:jc w:val="center"/>
        </w:trPr>
        <w:tc>
          <w:tcPr>
            <w:tcW w:w="2520" w:type="dxa"/>
            <w:vAlign w:val="center"/>
          </w:tcPr>
          <w:p w14:paraId="09EA3E03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UI / navigation</w:t>
            </w:r>
          </w:p>
        </w:tc>
        <w:tc>
          <w:tcPr>
            <w:tcW w:w="2520" w:type="dxa"/>
            <w:vAlign w:val="center"/>
          </w:tcPr>
          <w:p w14:paraId="7A59C224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Inter</w:t>
            </w:r>
          </w:p>
        </w:tc>
        <w:tc>
          <w:tcPr>
            <w:tcW w:w="2520" w:type="dxa"/>
            <w:vAlign w:val="center"/>
          </w:tcPr>
          <w:p w14:paraId="6079E31A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Medium 500</w:t>
            </w:r>
          </w:p>
        </w:tc>
        <w:tc>
          <w:tcPr>
            <w:tcW w:w="2520" w:type="dxa"/>
            <w:vAlign w:val="center"/>
          </w:tcPr>
          <w:p w14:paraId="3F0A3862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14–16 px</w:t>
            </w:r>
          </w:p>
        </w:tc>
      </w:tr>
      <w:tr w:rsidR="0027539A" w14:paraId="761FA9B2" w14:textId="77777777">
        <w:trPr>
          <w:jc w:val="center"/>
        </w:trPr>
        <w:tc>
          <w:tcPr>
            <w:tcW w:w="2520" w:type="dxa"/>
            <w:vAlign w:val="center"/>
          </w:tcPr>
          <w:p w14:paraId="5C17A621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Buttons</w:t>
            </w:r>
          </w:p>
        </w:tc>
        <w:tc>
          <w:tcPr>
            <w:tcW w:w="2520" w:type="dxa"/>
            <w:vAlign w:val="center"/>
          </w:tcPr>
          <w:p w14:paraId="124D18B5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Inter</w:t>
            </w:r>
          </w:p>
        </w:tc>
        <w:tc>
          <w:tcPr>
            <w:tcW w:w="2520" w:type="dxa"/>
            <w:vAlign w:val="center"/>
          </w:tcPr>
          <w:p w14:paraId="32B98DA1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SemiBold 600</w:t>
            </w:r>
          </w:p>
        </w:tc>
        <w:tc>
          <w:tcPr>
            <w:tcW w:w="2520" w:type="dxa"/>
            <w:vAlign w:val="center"/>
          </w:tcPr>
          <w:p w14:paraId="137B23F8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14–16 px</w:t>
            </w:r>
          </w:p>
        </w:tc>
      </w:tr>
      <w:tr w:rsidR="0027539A" w14:paraId="37956BC9" w14:textId="77777777">
        <w:trPr>
          <w:jc w:val="center"/>
        </w:trPr>
        <w:tc>
          <w:tcPr>
            <w:tcW w:w="2520" w:type="dxa"/>
            <w:vAlign w:val="center"/>
          </w:tcPr>
          <w:p w14:paraId="37BE123E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Captions</w:t>
            </w:r>
          </w:p>
        </w:tc>
        <w:tc>
          <w:tcPr>
            <w:tcW w:w="2520" w:type="dxa"/>
            <w:vAlign w:val="center"/>
          </w:tcPr>
          <w:p w14:paraId="11CEA2AD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Inter</w:t>
            </w:r>
          </w:p>
        </w:tc>
        <w:tc>
          <w:tcPr>
            <w:tcW w:w="2520" w:type="dxa"/>
            <w:vAlign w:val="center"/>
          </w:tcPr>
          <w:p w14:paraId="3F438BA2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Medium 500</w:t>
            </w:r>
          </w:p>
        </w:tc>
        <w:tc>
          <w:tcPr>
            <w:tcW w:w="2520" w:type="dxa"/>
            <w:vAlign w:val="center"/>
          </w:tcPr>
          <w:p w14:paraId="1D5095F4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12–14 px, slightly increased tracking</w:t>
            </w:r>
          </w:p>
        </w:tc>
      </w:tr>
    </w:tbl>
    <w:p w14:paraId="7A54D60F" w14:textId="77777777" w:rsidR="0027539A" w:rsidRDefault="00000000">
      <w:pPr>
        <w:pStyle w:val="Heading2"/>
      </w:pPr>
      <w:r>
        <w:t>Recommended digital hierarchy</w:t>
      </w:r>
    </w:p>
    <w:p w14:paraId="23A4E7B3" w14:textId="77777777" w:rsidR="0027539A" w:rsidRDefault="00000000">
      <w:pPr>
        <w:pStyle w:val="ListBullet"/>
        <w:rPr>
          <w:rFonts w:hint="eastAsia"/>
        </w:rPr>
      </w:pPr>
      <w:r>
        <w:t>H1: Sora 600, approximately 48–72 px desktop.</w:t>
      </w:r>
    </w:p>
    <w:p w14:paraId="08598763" w14:textId="77777777" w:rsidR="0027539A" w:rsidRDefault="00000000">
      <w:pPr>
        <w:pStyle w:val="ListBullet"/>
        <w:rPr>
          <w:rFonts w:hint="eastAsia"/>
        </w:rPr>
      </w:pPr>
      <w:r>
        <w:t>H2: Sora 600, approximately 32–44 px.</w:t>
      </w:r>
    </w:p>
    <w:p w14:paraId="6DAB8DC5" w14:textId="77777777" w:rsidR="0027539A" w:rsidRDefault="00000000">
      <w:pPr>
        <w:pStyle w:val="ListBullet"/>
        <w:rPr>
          <w:rFonts w:hint="eastAsia"/>
        </w:rPr>
      </w:pPr>
      <w:r>
        <w:t>H3: Sora 600, approximately 24–30 px.</w:t>
      </w:r>
    </w:p>
    <w:p w14:paraId="696AB03B" w14:textId="77777777" w:rsidR="0027539A" w:rsidRDefault="00000000">
      <w:pPr>
        <w:pStyle w:val="ListBullet"/>
        <w:rPr>
          <w:rFonts w:hint="eastAsia"/>
        </w:rPr>
      </w:pPr>
      <w:r>
        <w:t>Body: Inter 400, approximately 16–18 px with 1.5–1.65 line height.</w:t>
      </w:r>
    </w:p>
    <w:p w14:paraId="3CF7B667" w14:textId="77777777" w:rsidR="0027539A" w:rsidRDefault="00000000">
      <w:pPr>
        <w:pStyle w:val="ListBullet"/>
        <w:rPr>
          <w:rFonts w:hint="eastAsia"/>
        </w:rPr>
      </w:pPr>
      <w:r>
        <w:lastRenderedPageBreak/>
        <w:t>Navigation/UI: Inter 500.</w:t>
      </w:r>
    </w:p>
    <w:p w14:paraId="061D67A3" w14:textId="77777777" w:rsidR="0027539A" w:rsidRDefault="00000000">
      <w:pPr>
        <w:pStyle w:val="ListBullet"/>
        <w:rPr>
          <w:rFonts w:hint="eastAsia"/>
        </w:rPr>
      </w:pPr>
      <w:r>
        <w:t>Buttons: Inter 600.</w:t>
      </w:r>
    </w:p>
    <w:p w14:paraId="311D8001" w14:textId="77777777" w:rsidR="0027539A" w:rsidRDefault="00000000">
      <w:pPr>
        <w:pStyle w:val="Heading1"/>
      </w:pPr>
      <w:r>
        <w:t>5. Digital &amp; UI Language</w:t>
      </w:r>
    </w:p>
    <w:p w14:paraId="53C46B26" w14:textId="77777777" w:rsidR="0027539A" w:rsidRDefault="00000000">
      <w:pPr>
        <w:rPr>
          <w:rFonts w:hint="eastAsia"/>
        </w:rPr>
      </w:pPr>
      <w:r>
        <w:t>GENRA interfaces should feel spacious, precise, and quiet. Depth comes from layering and subtle contrast, not from excessive shadows, glow, or decorative effects.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7539A" w14:paraId="794453A3" w14:textId="77777777">
        <w:tc>
          <w:tcPr>
            <w:tcW w:w="5040" w:type="dxa"/>
            <w:shd w:val="clear" w:color="auto" w:fill="080B0B"/>
            <w:vAlign w:val="center"/>
          </w:tcPr>
          <w:p w14:paraId="314F60E7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w="5040" w:type="dxa"/>
            <w:shd w:val="clear" w:color="auto" w:fill="080B0B"/>
            <w:vAlign w:val="center"/>
          </w:tcPr>
          <w:p w14:paraId="4D455E6D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27539A" w14:paraId="7370A1A9" w14:textId="77777777">
        <w:tc>
          <w:tcPr>
            <w:tcW w:w="5040" w:type="dxa"/>
            <w:vAlign w:val="center"/>
          </w:tcPr>
          <w:p w14:paraId="4D497E76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Dark background</w:t>
            </w:r>
          </w:p>
        </w:tc>
        <w:tc>
          <w:tcPr>
            <w:tcW w:w="5040" w:type="dxa"/>
            <w:shd w:val="clear" w:color="auto" w:fill="080B0B"/>
            <w:vAlign w:val="center"/>
          </w:tcPr>
          <w:p w14:paraId="17856497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#080B0B</w:t>
            </w:r>
          </w:p>
        </w:tc>
      </w:tr>
      <w:tr w:rsidR="0027539A" w14:paraId="2F6CEB16" w14:textId="77777777">
        <w:tc>
          <w:tcPr>
            <w:tcW w:w="5040" w:type="dxa"/>
            <w:vAlign w:val="center"/>
          </w:tcPr>
          <w:p w14:paraId="42F6C210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Light background</w:t>
            </w:r>
          </w:p>
        </w:tc>
        <w:tc>
          <w:tcPr>
            <w:tcW w:w="5040" w:type="dxa"/>
            <w:shd w:val="clear" w:color="auto" w:fill="F5F4EF"/>
            <w:vAlign w:val="center"/>
          </w:tcPr>
          <w:p w14:paraId="0F7FA86C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#F5F4EF</w:t>
            </w:r>
          </w:p>
        </w:tc>
      </w:tr>
      <w:tr w:rsidR="0027539A" w14:paraId="672B922B" w14:textId="77777777">
        <w:tc>
          <w:tcPr>
            <w:tcW w:w="5040" w:type="dxa"/>
            <w:vAlign w:val="center"/>
          </w:tcPr>
          <w:p w14:paraId="00837926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Dark card</w:t>
            </w:r>
          </w:p>
        </w:tc>
        <w:tc>
          <w:tcPr>
            <w:tcW w:w="5040" w:type="dxa"/>
            <w:shd w:val="clear" w:color="auto" w:fill="111615"/>
            <w:vAlign w:val="center"/>
          </w:tcPr>
          <w:p w14:paraId="4ECB453A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#111615</w:t>
            </w:r>
          </w:p>
        </w:tc>
      </w:tr>
      <w:tr w:rsidR="0027539A" w14:paraId="1434DE11" w14:textId="77777777">
        <w:tc>
          <w:tcPr>
            <w:tcW w:w="5040" w:type="dxa"/>
            <w:vAlign w:val="center"/>
          </w:tcPr>
          <w:p w14:paraId="0D936799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Light card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AFA023D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#FFFFFF</w:t>
            </w:r>
          </w:p>
        </w:tc>
      </w:tr>
      <w:tr w:rsidR="0027539A" w14:paraId="0CAA6480" w14:textId="77777777">
        <w:tc>
          <w:tcPr>
            <w:tcW w:w="5040" w:type="dxa"/>
            <w:vAlign w:val="center"/>
          </w:tcPr>
          <w:p w14:paraId="4B37E80D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Dark border</w:t>
            </w:r>
          </w:p>
        </w:tc>
        <w:tc>
          <w:tcPr>
            <w:tcW w:w="5040" w:type="dxa"/>
            <w:shd w:val="clear" w:color="auto" w:fill="1F2926"/>
            <w:vAlign w:val="center"/>
          </w:tcPr>
          <w:p w14:paraId="3ACE0534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#1F2926</w:t>
            </w:r>
          </w:p>
        </w:tc>
      </w:tr>
      <w:tr w:rsidR="0027539A" w14:paraId="180C91B2" w14:textId="77777777">
        <w:tc>
          <w:tcPr>
            <w:tcW w:w="5040" w:type="dxa"/>
            <w:vAlign w:val="center"/>
          </w:tcPr>
          <w:p w14:paraId="7FDE3659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Light border</w:t>
            </w:r>
          </w:p>
        </w:tc>
        <w:tc>
          <w:tcPr>
            <w:tcW w:w="5040" w:type="dxa"/>
            <w:shd w:val="clear" w:color="auto" w:fill="E5E7E5"/>
            <w:vAlign w:val="center"/>
          </w:tcPr>
          <w:p w14:paraId="0AD7E8D9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#E5E7E5</w:t>
            </w:r>
          </w:p>
        </w:tc>
      </w:tr>
      <w:tr w:rsidR="0027539A" w14:paraId="04EF2430" w14:textId="77777777">
        <w:tc>
          <w:tcPr>
            <w:tcW w:w="5040" w:type="dxa"/>
            <w:vAlign w:val="center"/>
          </w:tcPr>
          <w:p w14:paraId="353E0A5E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Primary button</w:t>
            </w:r>
          </w:p>
        </w:tc>
        <w:tc>
          <w:tcPr>
            <w:tcW w:w="5040" w:type="dxa"/>
            <w:shd w:val="clear" w:color="auto" w:fill="34D399"/>
            <w:vAlign w:val="center"/>
          </w:tcPr>
          <w:p w14:paraId="28209489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#34D399</w:t>
            </w:r>
          </w:p>
        </w:tc>
      </w:tr>
      <w:tr w:rsidR="0027539A" w14:paraId="5524E3CB" w14:textId="77777777">
        <w:tc>
          <w:tcPr>
            <w:tcW w:w="5040" w:type="dxa"/>
            <w:vAlign w:val="center"/>
          </w:tcPr>
          <w:p w14:paraId="654C05CD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Button text</w:t>
            </w:r>
          </w:p>
        </w:tc>
        <w:tc>
          <w:tcPr>
            <w:tcW w:w="5040" w:type="dxa"/>
            <w:shd w:val="clear" w:color="auto" w:fill="080B0B"/>
            <w:vAlign w:val="center"/>
          </w:tcPr>
          <w:p w14:paraId="30876470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#080B0B</w:t>
            </w:r>
          </w:p>
        </w:tc>
      </w:tr>
      <w:tr w:rsidR="0027539A" w14:paraId="2D3E318D" w14:textId="77777777">
        <w:tc>
          <w:tcPr>
            <w:tcW w:w="5040" w:type="dxa"/>
            <w:vAlign w:val="center"/>
          </w:tcPr>
          <w:p w14:paraId="0343CB0D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Hover accent</w:t>
            </w:r>
          </w:p>
        </w:tc>
        <w:tc>
          <w:tcPr>
            <w:tcW w:w="5040" w:type="dxa"/>
            <w:shd w:val="clear" w:color="auto" w:fill="10B981"/>
            <w:vAlign w:val="center"/>
          </w:tcPr>
          <w:p w14:paraId="5AD15F34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#10B981</w:t>
            </w:r>
          </w:p>
        </w:tc>
      </w:tr>
    </w:tbl>
    <w:p w14:paraId="45FFA8AB" w14:textId="77777777" w:rsidR="0027539A" w:rsidRDefault="00000000">
      <w:pPr>
        <w:pStyle w:val="Heading1"/>
      </w:pPr>
      <w:r>
        <w:t>6. Imagery &amp; Graphic Direction</w:t>
      </w:r>
    </w:p>
    <w:p w14:paraId="7BF675AB" w14:textId="77777777" w:rsidR="0027539A" w:rsidRDefault="00000000">
      <w:pPr>
        <w:pStyle w:val="ListBullet"/>
        <w:rPr>
          <w:rFonts w:hint="eastAsia"/>
        </w:rPr>
      </w:pPr>
      <w:r>
        <w:t>Prefer dark environments, architectural geometry, subtle light, real work, and sophisticated technology imagery.</w:t>
      </w:r>
    </w:p>
    <w:p w14:paraId="390D2140" w14:textId="77777777" w:rsidR="0027539A" w:rsidRDefault="00000000">
      <w:pPr>
        <w:pStyle w:val="ListBullet"/>
        <w:rPr>
          <w:rFonts w:hint="eastAsia"/>
        </w:rPr>
      </w:pPr>
      <w:r>
        <w:t>Use abstract geometry and layered surfaces for AI/automation themes.</w:t>
      </w:r>
    </w:p>
    <w:p w14:paraId="47C15F1A" w14:textId="77777777" w:rsidR="0027539A" w:rsidRDefault="00000000">
      <w:pPr>
        <w:pStyle w:val="ListBullet"/>
        <w:rPr>
          <w:rFonts w:hint="eastAsia"/>
        </w:rPr>
      </w:pPr>
      <w:r>
        <w:t>Human imagery should feel authentic and purposeful rather than generic corporate stock photography.</w:t>
      </w:r>
    </w:p>
    <w:p w14:paraId="606A53E4" w14:textId="77777777" w:rsidR="0027539A" w:rsidRDefault="00000000">
      <w:pPr>
        <w:pStyle w:val="ListBullet"/>
        <w:rPr>
          <w:rFonts w:hint="eastAsia"/>
        </w:rPr>
      </w:pPr>
      <w:r>
        <w:t>Avoid robots, glowing brains, circuit-board clichés, excessive blue neon, and stereotypical 'AI' visuals.</w:t>
      </w:r>
    </w:p>
    <w:p w14:paraId="6A213DCC" w14:textId="77777777" w:rsidR="0027539A" w:rsidRDefault="00000000">
      <w:pPr>
        <w:pStyle w:val="ListBullet"/>
        <w:rPr>
          <w:rFonts w:hint="eastAsia"/>
        </w:rPr>
      </w:pPr>
      <w:r>
        <w:t>Use subtle mint light, reflections, gradients, or depth as supporting brand atmosphere.</w:t>
      </w:r>
    </w:p>
    <w:p w14:paraId="184CB180" w14:textId="77777777" w:rsidR="0027539A" w:rsidRDefault="00000000">
      <w:pPr>
        <w:pStyle w:val="Heading1"/>
      </w:pPr>
      <w:r>
        <w:t>7. Logo &amp; Favicon Specifications</w:t>
      </w:r>
    </w:p>
    <w:p w14:paraId="51422EAD" w14:textId="77777777" w:rsidR="0027539A" w:rsidRDefault="00000000">
      <w:pPr>
        <w:rPr>
          <w:rFonts w:hint="eastAsia"/>
        </w:rPr>
      </w:pPr>
      <w:r>
        <w:t>Maintain separate master assets for the full logo, icon-only mark, monochrome versions, and accent version.</w:t>
      </w:r>
    </w:p>
    <w:p w14:paraId="73057F02" w14:textId="77777777" w:rsidR="0027539A" w:rsidRDefault="00000000">
      <w:pPr>
        <w:pStyle w:val="ListBullet"/>
        <w:rPr>
          <w:rFonts w:hint="eastAsia"/>
        </w:rPr>
      </w:pPr>
      <w:r>
        <w:t>Favicon: 16×16 and 32×32 px.</w:t>
      </w:r>
    </w:p>
    <w:p w14:paraId="34E6599A" w14:textId="77777777" w:rsidR="0027539A" w:rsidRDefault="00000000">
      <w:pPr>
        <w:pStyle w:val="ListBullet"/>
        <w:rPr>
          <w:rFonts w:hint="eastAsia"/>
        </w:rPr>
      </w:pPr>
      <w:r>
        <w:t>App / PWA icon: 180×180, 192×192, and 512×512 px.</w:t>
      </w:r>
    </w:p>
    <w:p w14:paraId="040835C0" w14:textId="77777777" w:rsidR="0027539A" w:rsidRDefault="00000000">
      <w:pPr>
        <w:pStyle w:val="ListBullet"/>
        <w:rPr>
          <w:rFonts w:hint="eastAsia"/>
        </w:rPr>
      </w:pPr>
      <w:r>
        <w:t>Social/avatar: square icon-only mark.</w:t>
      </w:r>
    </w:p>
    <w:p w14:paraId="4A02C132" w14:textId="77777777" w:rsidR="0027539A" w:rsidRDefault="00000000">
      <w:pPr>
        <w:pStyle w:val="ListBullet"/>
        <w:rPr>
          <w:rFonts w:hint="eastAsia"/>
        </w:rPr>
      </w:pPr>
      <w:r>
        <w:t>Use the icon-only mark whenever the wordmark would become too small to read.</w:t>
      </w:r>
    </w:p>
    <w:p w14:paraId="66BA68B6" w14:textId="77777777" w:rsidR="0027539A" w:rsidRDefault="00000000">
      <w:pPr>
        <w:pStyle w:val="Heading1"/>
      </w:pPr>
      <w:r>
        <w:t>8. Brand Voice</w:t>
      </w:r>
    </w:p>
    <w:p w14:paraId="18500E3F" w14:textId="77777777" w:rsidR="0027539A" w:rsidRDefault="00000000">
      <w:pPr>
        <w:rPr>
          <w:rFonts w:hint="eastAsia"/>
        </w:rPr>
      </w:pPr>
      <w:r>
        <w:t>GENRA should communicate with clarity and confidence. Prefer short, direct statements over corporate jargon.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7539A" w14:paraId="7D3742FF" w14:textId="77777777">
        <w:tc>
          <w:tcPr>
            <w:tcW w:w="5040" w:type="dxa"/>
            <w:shd w:val="clear" w:color="auto" w:fill="080B0B"/>
            <w:vAlign w:val="center"/>
          </w:tcPr>
          <w:p w14:paraId="523F5197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Avoid</w:t>
            </w:r>
          </w:p>
        </w:tc>
        <w:tc>
          <w:tcPr>
            <w:tcW w:w="5040" w:type="dxa"/>
            <w:shd w:val="clear" w:color="auto" w:fill="080B0B"/>
            <w:vAlign w:val="center"/>
          </w:tcPr>
          <w:p w14:paraId="6229EB5D" w14:textId="77777777" w:rsidR="0027539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Prefer</w:t>
            </w:r>
          </w:p>
        </w:tc>
      </w:tr>
      <w:tr w:rsidR="0027539A" w14:paraId="64D20DD7" w14:textId="77777777">
        <w:tc>
          <w:tcPr>
            <w:tcW w:w="5040" w:type="dxa"/>
            <w:vAlign w:val="center"/>
          </w:tcPr>
          <w:p w14:paraId="4C122646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We leverage cutting-edge AI technologies...</w:t>
            </w:r>
          </w:p>
        </w:tc>
        <w:tc>
          <w:tcPr>
            <w:tcW w:w="5040" w:type="dxa"/>
            <w:vAlign w:val="center"/>
          </w:tcPr>
          <w:p w14:paraId="6F532C29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We build systems that do the work.</w:t>
            </w:r>
          </w:p>
        </w:tc>
      </w:tr>
      <w:tr w:rsidR="0027539A" w14:paraId="78AEB8C1" w14:textId="77777777">
        <w:tc>
          <w:tcPr>
            <w:tcW w:w="5040" w:type="dxa"/>
            <w:vAlign w:val="center"/>
          </w:tcPr>
          <w:p w14:paraId="6969CF23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AI-powered recruitment solutions...</w:t>
            </w:r>
          </w:p>
        </w:tc>
        <w:tc>
          <w:tcPr>
            <w:tcW w:w="5040" w:type="dxa"/>
            <w:vAlign w:val="center"/>
          </w:tcPr>
          <w:p w14:paraId="1B3C7059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You find the opportunity. GENRA handles the work.</w:t>
            </w:r>
          </w:p>
        </w:tc>
      </w:tr>
      <w:tr w:rsidR="0027539A" w14:paraId="5E3131CE" w14:textId="77777777">
        <w:tc>
          <w:tcPr>
            <w:tcW w:w="5040" w:type="dxa"/>
            <w:vAlign w:val="center"/>
          </w:tcPr>
          <w:p w14:paraId="61F2CDAE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Customized AI automation solutions...</w:t>
            </w:r>
          </w:p>
        </w:tc>
        <w:tc>
          <w:tcPr>
            <w:tcW w:w="5040" w:type="dxa"/>
            <w:vAlign w:val="center"/>
          </w:tcPr>
          <w:p w14:paraId="3AC978EF" w14:textId="77777777" w:rsidR="0027539A" w:rsidRDefault="00000000">
            <w:pPr>
              <w:rPr>
                <w:rFonts w:hint="eastAsia"/>
              </w:rPr>
            </w:pPr>
            <w:r>
              <w:rPr>
                <w:sz w:val="19"/>
              </w:rPr>
              <w:t>If it can be done, it can probably be automated.</w:t>
            </w:r>
          </w:p>
        </w:tc>
      </w:tr>
    </w:tbl>
    <w:p w14:paraId="20508288" w14:textId="77777777" w:rsidR="0027539A" w:rsidRDefault="00000000">
      <w:pPr>
        <w:pStyle w:val="Heading1"/>
      </w:pPr>
      <w:r>
        <w:t>9. Tagline &amp; Messaging Directions</w:t>
      </w:r>
    </w:p>
    <w:p w14:paraId="4BAC54F3" w14:textId="77777777" w:rsidR="0027539A" w:rsidRDefault="00000000">
      <w:pPr>
        <w:rPr>
          <w:rFonts w:hint="eastAsia"/>
        </w:rPr>
      </w:pPr>
      <w:r>
        <w:t>Primary working line:</w:t>
      </w:r>
    </w:p>
    <w:p w14:paraId="0183025B" w14:textId="77777777" w:rsidR="00542700" w:rsidRDefault="00542700" w:rsidP="00542700">
      <w:pPr>
        <w:rPr>
          <w:b/>
          <w:bCs/>
          <w:color w:val="34D399"/>
          <w:sz w:val="28"/>
          <w:szCs w:val="32"/>
        </w:rPr>
      </w:pPr>
      <w:r w:rsidRPr="00BA7FA5">
        <w:rPr>
          <w:b/>
          <w:bCs/>
          <w:color w:val="34D399"/>
          <w:sz w:val="28"/>
          <w:szCs w:val="32"/>
        </w:rPr>
        <w:lastRenderedPageBreak/>
        <w:t>Build. Automate. Advance.</w:t>
      </w:r>
    </w:p>
    <w:p w14:paraId="442ED088" w14:textId="747C4A94" w:rsidR="00542700" w:rsidRDefault="00542700" w:rsidP="00542700">
      <w:pPr>
        <w:rPr>
          <w:b/>
          <w:bCs/>
          <w:color w:val="34D399"/>
          <w:sz w:val="28"/>
          <w:szCs w:val="32"/>
        </w:rPr>
      </w:pPr>
      <w:r w:rsidRPr="00542700">
        <w:rPr>
          <w:b/>
          <w:bCs/>
          <w:color w:val="34D399"/>
          <w:sz w:val="28"/>
          <w:szCs w:val="32"/>
        </w:rPr>
        <w:t>You bring the idea. We make it happen</w:t>
      </w:r>
      <w:r>
        <w:rPr>
          <w:b/>
          <w:bCs/>
          <w:color w:val="34D399"/>
          <w:sz w:val="28"/>
          <w:szCs w:val="32"/>
        </w:rPr>
        <w:t>.</w:t>
      </w:r>
    </w:p>
    <w:p w14:paraId="1F40D777" w14:textId="77777777" w:rsidR="0027539A" w:rsidRDefault="00000000">
      <w:pPr>
        <w:rPr>
          <w:rFonts w:hint="eastAsia"/>
        </w:rPr>
      </w:pPr>
      <w:r>
        <w:t>Additional directions:</w:t>
      </w:r>
    </w:p>
    <w:p w14:paraId="1596B671" w14:textId="77777777" w:rsidR="0027539A" w:rsidRDefault="00000000">
      <w:pPr>
        <w:pStyle w:val="ListBullet"/>
      </w:pPr>
      <w:r>
        <w:t>Build. Automate. Advance.</w:t>
      </w:r>
    </w:p>
    <w:p w14:paraId="2A5FDBF7" w14:textId="3FB0FA49" w:rsidR="00542700" w:rsidRDefault="00542700">
      <w:pPr>
        <w:pStyle w:val="ListBullet"/>
        <w:rPr>
          <w:rFonts w:hint="eastAsia"/>
        </w:rPr>
      </w:pPr>
      <w:r>
        <w:t>You Name It. We Build It.</w:t>
      </w:r>
    </w:p>
    <w:p w14:paraId="51E1C818" w14:textId="77777777" w:rsidR="0027539A" w:rsidRDefault="00000000">
      <w:pPr>
        <w:pStyle w:val="ListBullet"/>
        <w:rPr>
          <w:rFonts w:hint="eastAsia"/>
        </w:rPr>
      </w:pPr>
      <w:r>
        <w:t>Same intelligence. More possibilities.</w:t>
      </w:r>
    </w:p>
    <w:p w14:paraId="5DC61FA7" w14:textId="77777777" w:rsidR="0027539A" w:rsidRDefault="00000000">
      <w:pPr>
        <w:pStyle w:val="ListBullet"/>
        <w:rPr>
          <w:rFonts w:hint="eastAsia"/>
        </w:rPr>
      </w:pPr>
      <w:r>
        <w:t>Technology that moves people forward.</w:t>
      </w:r>
    </w:p>
    <w:p w14:paraId="14B928D4" w14:textId="77777777" w:rsidR="0027539A" w:rsidRDefault="00000000">
      <w:pPr>
        <w:pStyle w:val="ListBullet"/>
        <w:rPr>
          <w:rFonts w:hint="eastAsia"/>
        </w:rPr>
      </w:pPr>
      <w:r>
        <w:t>Intelligence, put to work.</w:t>
      </w:r>
    </w:p>
    <w:p w14:paraId="1E601AB8" w14:textId="77777777" w:rsidR="0027539A" w:rsidRDefault="00000000">
      <w:pPr>
        <w:pStyle w:val="ListBullet"/>
        <w:rPr>
          <w:rFonts w:hint="eastAsia"/>
        </w:rPr>
      </w:pPr>
      <w:r>
        <w:t>From intent to execution.</w:t>
      </w:r>
    </w:p>
    <w:p w14:paraId="67EDC62E" w14:textId="77777777" w:rsidR="0027539A" w:rsidRDefault="00000000">
      <w:pPr>
        <w:pStyle w:val="Heading1"/>
      </w:pPr>
      <w:r>
        <w:t>10. Brand Asset Checklist</w:t>
      </w:r>
    </w:p>
    <w:p w14:paraId="27D8BB8A" w14:textId="77777777" w:rsidR="0027539A" w:rsidRDefault="00000000">
      <w:pPr>
        <w:pStyle w:val="ListBullet"/>
        <w:rPr>
          <w:rFonts w:hint="eastAsia"/>
        </w:rPr>
      </w:pPr>
      <w:r>
        <w:t>Primary full logo — light background</w:t>
      </w:r>
    </w:p>
    <w:p w14:paraId="409F5508" w14:textId="77777777" w:rsidR="0027539A" w:rsidRDefault="00000000">
      <w:pPr>
        <w:pStyle w:val="ListBullet"/>
        <w:rPr>
          <w:rFonts w:hint="eastAsia"/>
        </w:rPr>
      </w:pPr>
      <w:r>
        <w:t>Dark-mode full logo</w:t>
      </w:r>
    </w:p>
    <w:p w14:paraId="3B8DDAB7" w14:textId="77777777" w:rsidR="0027539A" w:rsidRDefault="00000000">
      <w:pPr>
        <w:pStyle w:val="ListBullet"/>
        <w:rPr>
          <w:rFonts w:hint="eastAsia"/>
        </w:rPr>
      </w:pPr>
      <w:r>
        <w:t>Accent/gradient full logo</w:t>
      </w:r>
    </w:p>
    <w:p w14:paraId="4C0C6AE8" w14:textId="77777777" w:rsidR="0027539A" w:rsidRDefault="00000000">
      <w:pPr>
        <w:pStyle w:val="ListBullet"/>
        <w:rPr>
          <w:rFonts w:hint="eastAsia"/>
        </w:rPr>
      </w:pPr>
      <w:r>
        <w:t>Black monochrome logo</w:t>
      </w:r>
    </w:p>
    <w:p w14:paraId="136E2A9D" w14:textId="77777777" w:rsidR="0027539A" w:rsidRDefault="00000000">
      <w:pPr>
        <w:pStyle w:val="ListBullet"/>
        <w:rPr>
          <w:rFonts w:hint="eastAsia"/>
        </w:rPr>
      </w:pPr>
      <w:r>
        <w:t>White monochrome logo</w:t>
      </w:r>
    </w:p>
    <w:p w14:paraId="046584D5" w14:textId="77777777" w:rsidR="0027539A" w:rsidRDefault="00000000">
      <w:pPr>
        <w:pStyle w:val="ListBullet"/>
        <w:rPr>
          <w:rFonts w:hint="eastAsia"/>
        </w:rPr>
      </w:pPr>
      <w:r>
        <w:t>Icon-only mark</w:t>
      </w:r>
    </w:p>
    <w:p w14:paraId="45A590E8" w14:textId="77777777" w:rsidR="0027539A" w:rsidRDefault="00000000">
      <w:pPr>
        <w:pStyle w:val="ListBullet"/>
        <w:rPr>
          <w:rFonts w:hint="eastAsia"/>
        </w:rPr>
      </w:pPr>
      <w:r>
        <w:t>Icon-only dark version</w:t>
      </w:r>
    </w:p>
    <w:p w14:paraId="7BB4F097" w14:textId="77777777" w:rsidR="0027539A" w:rsidRDefault="00000000">
      <w:pPr>
        <w:pStyle w:val="ListBullet"/>
        <w:rPr>
          <w:rFonts w:hint="eastAsia"/>
        </w:rPr>
      </w:pPr>
      <w:r>
        <w:t>Icon-only accent version</w:t>
      </w:r>
    </w:p>
    <w:p w14:paraId="677EC8AA" w14:textId="77777777" w:rsidR="0027539A" w:rsidRDefault="00000000">
      <w:pPr>
        <w:pStyle w:val="ListBullet"/>
        <w:rPr>
          <w:rFonts w:hint="eastAsia"/>
        </w:rPr>
      </w:pPr>
      <w:r>
        <w:t>Favicon set</w:t>
      </w:r>
    </w:p>
    <w:p w14:paraId="05E50CAF" w14:textId="77777777" w:rsidR="0027539A" w:rsidRDefault="00000000">
      <w:pPr>
        <w:pStyle w:val="ListBullet"/>
        <w:rPr>
          <w:rFonts w:hint="eastAsia"/>
        </w:rPr>
      </w:pPr>
      <w:r>
        <w:t>App/PWA icon set</w:t>
      </w:r>
    </w:p>
    <w:p w14:paraId="3F2450C5" w14:textId="77777777" w:rsidR="0027539A" w:rsidRDefault="00000000">
      <w:pPr>
        <w:pStyle w:val="ListBullet"/>
        <w:rPr>
          <w:rFonts w:hint="eastAsia"/>
        </w:rPr>
      </w:pPr>
      <w:r>
        <w:t>Typography files / usage specification</w:t>
      </w:r>
    </w:p>
    <w:p w14:paraId="6F3B5C12" w14:textId="77777777" w:rsidR="0027539A" w:rsidRDefault="00000000">
      <w:pPr>
        <w:pStyle w:val="ListBullet"/>
        <w:rPr>
          <w:rFonts w:hint="eastAsia"/>
        </w:rPr>
      </w:pPr>
      <w:r>
        <w:t>Color palette specification</w:t>
      </w:r>
    </w:p>
    <w:p w14:paraId="53481BD1" w14:textId="77777777" w:rsidR="0027539A" w:rsidRDefault="00000000">
      <w:pPr>
        <w:pStyle w:val="ListBullet"/>
        <w:rPr>
          <w:rFonts w:hint="eastAsia"/>
        </w:rPr>
      </w:pPr>
      <w:r>
        <w:t>Social profile/avatar assets</w:t>
      </w:r>
    </w:p>
    <w:p w14:paraId="106015BE" w14:textId="77777777" w:rsidR="0027539A" w:rsidRDefault="00000000">
      <w:pPr>
        <w:pStyle w:val="ListBullet"/>
        <w:rPr>
          <w:rFonts w:hint="eastAsia"/>
        </w:rPr>
      </w:pPr>
      <w:r>
        <w:t>Website header and footer logo assets</w:t>
      </w:r>
    </w:p>
    <w:p w14:paraId="512ED451" w14:textId="77777777" w:rsidR="0027539A" w:rsidRDefault="00000000">
      <w:pPr>
        <w:pStyle w:val="ListBullet"/>
        <w:rPr>
          <w:rFonts w:hint="eastAsia"/>
        </w:rPr>
      </w:pPr>
      <w:r>
        <w:t>Business card and letterhead templates</w:t>
      </w:r>
    </w:p>
    <w:p w14:paraId="0C940D68" w14:textId="77777777" w:rsidR="0027539A" w:rsidRDefault="00000000">
      <w:pPr>
        <w:pStyle w:val="ListBullet"/>
        <w:rPr>
          <w:rFonts w:hint="eastAsia"/>
        </w:rPr>
      </w:pPr>
      <w:r>
        <w:t>Email signature</w:t>
      </w:r>
    </w:p>
    <w:p w14:paraId="26D30A6D" w14:textId="77777777" w:rsidR="0027539A" w:rsidRDefault="00000000">
      <w:pPr>
        <w:pStyle w:val="ListBullet"/>
        <w:rPr>
          <w:rFonts w:hint="eastAsia"/>
        </w:rPr>
      </w:pPr>
      <w:r>
        <w:t>Presentation / pitch-deck template</w:t>
      </w:r>
    </w:p>
    <w:p w14:paraId="0943C18E" w14:textId="77777777" w:rsidR="0027539A" w:rsidRDefault="00000000">
      <w:pPr>
        <w:pStyle w:val="ListBullet"/>
        <w:rPr>
          <w:rFonts w:hint="eastAsia"/>
        </w:rPr>
      </w:pPr>
      <w:r>
        <w:t>LinkedIn/social banner system</w:t>
      </w:r>
    </w:p>
    <w:p w14:paraId="076522C8" w14:textId="77777777" w:rsidR="0027539A" w:rsidRDefault="0027539A">
      <w:pPr>
        <w:rPr>
          <w:rFonts w:hint="eastAsia"/>
        </w:rPr>
      </w:pPr>
    </w:p>
    <w:p w14:paraId="73EDBB31" w14:textId="77777777" w:rsidR="00542700" w:rsidRDefault="00000000" w:rsidP="00542700">
      <w:pPr>
        <w:jc w:val="center"/>
        <w:rPr>
          <w:b/>
          <w:bCs/>
          <w:color w:val="34D399"/>
          <w:sz w:val="28"/>
          <w:szCs w:val="32"/>
        </w:rPr>
      </w:pPr>
      <w:r>
        <w:rPr>
          <w:color w:val="6B7280"/>
          <w:sz w:val="16"/>
        </w:rPr>
        <w:t xml:space="preserve">GENRA </w:t>
      </w:r>
      <w:r w:rsidRPr="00542700">
        <w:rPr>
          <w:color w:val="6B7280"/>
          <w:sz w:val="16"/>
        </w:rPr>
        <w:t xml:space="preserve">— </w:t>
      </w:r>
      <w:r w:rsidR="00542700" w:rsidRPr="00542700">
        <w:rPr>
          <w:color w:val="34D399"/>
          <w:sz w:val="16"/>
          <w:szCs w:val="16"/>
        </w:rPr>
        <w:t>Build. Automate. Advance</w:t>
      </w:r>
      <w:r w:rsidR="00542700" w:rsidRPr="00542700">
        <w:rPr>
          <w:b/>
          <w:bCs/>
          <w:color w:val="34D399"/>
          <w:sz w:val="16"/>
          <w:szCs w:val="16"/>
        </w:rPr>
        <w:t>.</w:t>
      </w:r>
    </w:p>
    <w:p w14:paraId="4DF3FCFD" w14:textId="023334F3" w:rsidR="0027539A" w:rsidRDefault="0027539A">
      <w:pPr>
        <w:jc w:val="center"/>
        <w:rPr>
          <w:rFonts w:hint="eastAsia"/>
        </w:rPr>
      </w:pPr>
    </w:p>
    <w:sectPr w:rsidR="0027539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ora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042BAC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5" type="#_x0000_t75" style="width:929.4pt;height:952.8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670725">
    <w:abstractNumId w:val="8"/>
  </w:num>
  <w:num w:numId="2" w16cid:durableId="79179531">
    <w:abstractNumId w:val="6"/>
  </w:num>
  <w:num w:numId="3" w16cid:durableId="575700476">
    <w:abstractNumId w:val="5"/>
  </w:num>
  <w:num w:numId="4" w16cid:durableId="1608656804">
    <w:abstractNumId w:val="4"/>
  </w:num>
  <w:num w:numId="5" w16cid:durableId="1937446890">
    <w:abstractNumId w:val="7"/>
  </w:num>
  <w:num w:numId="6" w16cid:durableId="2020542986">
    <w:abstractNumId w:val="3"/>
  </w:num>
  <w:num w:numId="7" w16cid:durableId="1515151241">
    <w:abstractNumId w:val="2"/>
  </w:num>
  <w:num w:numId="8" w16cid:durableId="323169357">
    <w:abstractNumId w:val="1"/>
  </w:num>
  <w:num w:numId="9" w16cid:durableId="61894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39A"/>
    <w:rsid w:val="0029639D"/>
    <w:rsid w:val="00326F90"/>
    <w:rsid w:val="00542700"/>
    <w:rsid w:val="00AA1D8D"/>
    <w:rsid w:val="00B47730"/>
    <w:rsid w:val="00BA7FA5"/>
    <w:rsid w:val="00CB0664"/>
    <w:rsid w:val="00D73F5E"/>
    <w:rsid w:val="00DB6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9AEB9"/>
  <w14:defaultImageDpi w14:val="300"/>
  <w15:docId w15:val="{174F5447-6111-47C6-A77C-96CE414C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hAnsi="Inter"/>
      <w:color w:val="2D323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arshadkhan207@outlook.com</cp:lastModifiedBy>
  <cp:revision>2</cp:revision>
  <dcterms:created xsi:type="dcterms:W3CDTF">2013-12-23T23:15:00Z</dcterms:created>
  <dcterms:modified xsi:type="dcterms:W3CDTF">2026-09-13T12:12:00Z</dcterms:modified>
  <cp:category/>
</cp:coreProperties>
</file>