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AI Skills vs Job Risk Dashboard Challenge</w:t>
        <w:br w:type="textWrapping"/>
      </w:r>
    </w:p>
    <w:p w:rsidR="00000000" w:rsidDel="00000000" w:rsidP="00000000" w:rsidRDefault="00000000" w:rsidRPr="00000000" w14:paraId="00000002">
      <w:pPr>
        <w:rPr/>
      </w:pPr>
      <w:r w:rsidDel="00000000" w:rsidR="00000000" w:rsidRPr="00000000">
        <w:rPr>
          <w:rtl w:val="0"/>
        </w:rPr>
        <w:t xml:space="preserve">The AI Agents &amp; Future of Work dashboard is designed to provide a comprehensive, data-driven view of how artificial intelligence is reshaping the global workforce. By integrating data across jobs, industries, countries, tools, skills, and experience levels, the dashboard tells a compelling story of transformation from rising automation risk and workforce displacement to emerging opportunities, productivity gains, and evolving skill demands.</w:t>
        <w:br w:type="textWrapping"/>
      </w:r>
    </w:p>
    <w:p w:rsidR="00000000" w:rsidDel="00000000" w:rsidP="00000000" w:rsidRDefault="00000000" w:rsidRPr="00000000" w14:paraId="00000003">
      <w:pPr>
        <w:rPr>
          <w:b w:val="1"/>
          <w:bCs w:val="1"/>
        </w:rPr>
      </w:pPr>
      <w:r w:rsidDel="00000000" w:rsidR="00000000" w:rsidRPr="00000000">
        <w:rPr>
          <w:b w:val="1"/>
          <w:bCs w:val="1"/>
          <w:rtl w:val="0"/>
        </w:rPr>
        <w:t xml:space="preserve">The primary objective of the dashboard is to help reviewers:</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Understand how AI is affecting job roles and workforce composition</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Track adoption, investment, and productivity impact across sectors and regions</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Identify salary trends and skill value shifts driven by AI</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Compare AI tool capabilities and adoption patterns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Support data-driven workforce planning and strategic decision-making</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Highlight areas of risk concentration and emerging growth opportunities</w:t>
      </w:r>
    </w:p>
    <w:p w:rsidR="00000000" w:rsidDel="00000000" w:rsidP="00000000" w:rsidRDefault="00000000" w:rsidRPr="00000000" w14:paraId="0000000A">
      <w:pPr>
        <w:ind w:left="720" w:firstLine="0"/>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Participants will be evaluated using the detailed criteria below.</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8"/>
          <w:szCs w:val="28"/>
          <w:rtl w:val="0"/>
        </w:rPr>
        <w:t xml:space="preserve">1. Core Business Requirements </w:t>
      </w:r>
      <w:r w:rsidDel="00000000" w:rsidR="00000000" w:rsidRPr="00000000">
        <w:rPr>
          <w:b w:val="1"/>
          <w:bCs w:val="1"/>
          <w:rtl w:val="0"/>
        </w:rPr>
        <w:t xml:space="preserve">— 40%</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the highest-weight category. Accuracy and correctness are critical.</w:t>
      </w:r>
    </w:p>
    <w:p w:rsidR="00000000" w:rsidDel="00000000" w:rsidP="00000000" w:rsidRDefault="00000000" w:rsidRPr="00000000" w14:paraId="0000000E">
      <w:pPr>
        <w:rPr/>
      </w:pPr>
      <w:r w:rsidDel="00000000" w:rsidR="00000000" w:rsidRPr="00000000">
        <w:rPr>
          <w:b w:val="1"/>
          <w:bCs w:val="1"/>
          <w:rtl w:val="0"/>
        </w:rPr>
        <w:t xml:space="preserve">1.1 Accuracy (Mandatory)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All 11 questions must be attended and correctly calculated and validated against the source data.</w:t>
      </w:r>
    </w:p>
    <w:p w:rsidR="00000000" w:rsidDel="00000000" w:rsidP="00000000" w:rsidRDefault="00000000" w:rsidRPr="00000000" w14:paraId="00000010">
      <w:pPr>
        <w:rPr/>
      </w:pPr>
      <w:r w:rsidDel="00000000" w:rsidR="00000000" w:rsidRPr="00000000">
        <w:rPr>
          <w:b w:val="1"/>
          <w:bCs w:val="1"/>
          <w:rtl w:val="0"/>
        </w:rPr>
        <w:t xml:space="preserve">Evaluation focus:</w:t>
      </w: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Correct aggregation logic for all measures</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Proper filtering behaviour across all slicers</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No hard-coded values; all figures driven by data</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Values reconcile with the source dataset</w:t>
      </w:r>
    </w:p>
    <w:p w:rsidR="00000000" w:rsidDel="00000000" w:rsidP="00000000" w:rsidRDefault="00000000" w:rsidRPr="00000000" w14:paraId="00000015">
      <w:pPr>
        <w:rPr/>
      </w:pPr>
      <w:r w:rsidDel="00000000" w:rsidR="00000000" w:rsidRPr="00000000">
        <w:rPr>
          <w:b w:val="1"/>
          <w:bCs w:val="1"/>
          <w:rtl w:val="0"/>
        </w:rPr>
        <w:t xml:space="preserve">Scoring guidance:</w:t>
      </w:r>
      <w:r w:rsidDel="00000000" w:rsidR="00000000" w:rsidRPr="00000000">
        <w:rPr>
          <w:rtl w:val="0"/>
        </w:rPr>
      </w:r>
    </w:p>
    <w:p w:rsidR="00000000" w:rsidDel="00000000" w:rsidP="00000000" w:rsidRDefault="00000000" w:rsidRPr="00000000" w14:paraId="00000016">
      <w:pPr>
        <w:numPr>
          <w:ilvl w:val="0"/>
          <w:numId w:val="2"/>
        </w:numPr>
        <w:ind w:left="720" w:hanging="360"/>
        <w:rPr/>
      </w:pPr>
      <w:sdt>
        <w:sdtPr>
          <w:id w:val="1674904356"/>
          <w:tag w:val="goog_rdk_0"/>
        </w:sdtPr>
        <w:sdtContent>
          <w:r w:rsidDel="00000000" w:rsidR="00000000" w:rsidRPr="00000000">
            <w:rPr>
              <w:rFonts w:ascii="Cardo" w:cs="Cardo" w:eastAsia="Cardo" w:hAnsi="Cardo"/>
              <w:rtl w:val="0"/>
            </w:rPr>
            <w:t xml:space="preserve">Fully accurate → Full marks</w:t>
          </w:r>
        </w:sdtContent>
      </w:sdt>
    </w:p>
    <w:p w:rsidR="00000000" w:rsidDel="00000000" w:rsidP="00000000" w:rsidRDefault="00000000" w:rsidRPr="00000000" w14:paraId="00000017">
      <w:pPr>
        <w:numPr>
          <w:ilvl w:val="0"/>
          <w:numId w:val="2"/>
        </w:numPr>
        <w:ind w:left="720" w:hanging="360"/>
        <w:rPr/>
      </w:pPr>
      <w:sdt>
        <w:sdtPr>
          <w:id w:val="1771505684"/>
          <w:tag w:val="goog_rdk_1"/>
        </w:sdtPr>
        <w:sdtContent>
          <w:r w:rsidDel="00000000" w:rsidR="00000000" w:rsidRPr="00000000">
            <w:rPr>
              <w:rFonts w:ascii="Cardo" w:cs="Cardo" w:eastAsia="Cardo" w:hAnsi="Cardo"/>
              <w:rtl w:val="0"/>
            </w:rPr>
            <w:t xml:space="preserve">Minor calculation issue → Partial</w:t>
          </w:r>
        </w:sdtContent>
      </w:sdt>
    </w:p>
    <w:p w:rsidR="00000000" w:rsidDel="00000000" w:rsidP="00000000" w:rsidRDefault="00000000" w:rsidRPr="00000000" w14:paraId="00000018">
      <w:pPr>
        <w:numPr>
          <w:ilvl w:val="0"/>
          <w:numId w:val="2"/>
        </w:numPr>
        <w:ind w:left="720" w:hanging="360"/>
        <w:rPr/>
      </w:pPr>
      <w:sdt>
        <w:sdtPr>
          <w:id w:val="1025918639"/>
          <w:tag w:val="goog_rdk_2"/>
        </w:sdtPr>
        <w:sdtContent>
          <w:r w:rsidDel="00000000" w:rsidR="00000000" w:rsidRPr="00000000">
            <w:rPr>
              <w:rFonts w:ascii="Cardo" w:cs="Cardo" w:eastAsia="Cardo" w:hAnsi="Cardo"/>
              <w:rtl w:val="0"/>
            </w:rPr>
            <w:t xml:space="preserve">Incorrect logic → Major deduction</w:t>
          </w:r>
        </w:sdtContent>
      </w:sdt>
    </w:p>
    <w:p w:rsidR="00000000" w:rsidDel="00000000" w:rsidP="00000000" w:rsidRDefault="00000000" w:rsidRPr="00000000" w14:paraId="00000019">
      <w:pPr>
        <w:rPr/>
      </w:pPr>
      <w:r w:rsidDel="00000000" w:rsidR="00000000" w:rsidRPr="00000000">
        <w:rPr>
          <w:b w:val="1"/>
          <w:bCs w:val="1"/>
          <w:rtl w:val="0"/>
        </w:rPr>
        <w:t xml:space="preserve">1.2 Business Question Coverage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All challenge questions must be addressed through appropriate visuals and measures.</w:t>
      </w:r>
    </w:p>
    <w:p w:rsidR="00000000" w:rsidDel="00000000" w:rsidP="00000000" w:rsidRDefault="00000000" w:rsidRPr="00000000" w14:paraId="0000001B">
      <w:pPr>
        <w:rPr/>
      </w:pPr>
      <w:r w:rsidDel="00000000" w:rsidR="00000000" w:rsidRPr="00000000">
        <w:rPr>
          <w:b w:val="1"/>
          <w:bCs w:val="1"/>
          <w:rtl w:val="0"/>
        </w:rPr>
        <w:t xml:space="preserve">Judges will verify:</w:t>
      </w:r>
      <w:r w:rsidDel="00000000" w:rsidR="00000000" w:rsidRPr="00000000">
        <w:rPr>
          <w:rtl w:val="0"/>
        </w:rPr>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Every required business question is addressed</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Visual type matches the analytical intent</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Supporting measures are reusable and logically organised</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No placeholder or incomplete visuals</w:t>
      </w:r>
    </w:p>
    <w:p w:rsidR="00000000" w:rsidDel="00000000" w:rsidP="00000000" w:rsidRDefault="00000000" w:rsidRPr="00000000" w14:paraId="00000020">
      <w:pPr>
        <w:rPr/>
      </w:pPr>
      <w:r w:rsidDel="00000000" w:rsidR="00000000" w:rsidRPr="00000000">
        <w:rPr>
          <w:b w:val="1"/>
          <w:bCs w:val="1"/>
          <w:rtl w:val="0"/>
        </w:rPr>
        <w:t xml:space="preserve">1.3 Segmentation &amp; Classification Logic</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Data must be segmented and classified correctly using DAX logic based on the dataset.</w:t>
      </w:r>
    </w:p>
    <w:p w:rsidR="00000000" w:rsidDel="00000000" w:rsidP="00000000" w:rsidRDefault="00000000" w:rsidRPr="00000000" w14:paraId="00000022">
      <w:pPr>
        <w:rPr/>
      </w:pPr>
      <w:r w:rsidDel="00000000" w:rsidR="00000000" w:rsidRPr="00000000">
        <w:rPr>
          <w:b w:val="1"/>
          <w:bCs w:val="1"/>
          <w:rtl w:val="0"/>
        </w:rPr>
        <w:t xml:space="preserve">Evaluation criteria:</w:t>
      </w:r>
      <w:r w:rsidDel="00000000" w:rsidR="00000000" w:rsidRPr="00000000">
        <w:rPr>
          <w:rtl w:val="0"/>
        </w:rPr>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Categories and thresholds are logically defined and consistently applied</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Logic is dynamic and responds to slicer context</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No manual tagging or hard-coded category assignments</w:t>
      </w:r>
    </w:p>
    <w:p w:rsidR="00000000" w:rsidDel="00000000" w:rsidP="00000000" w:rsidRDefault="00000000" w:rsidRPr="00000000" w14:paraId="00000026">
      <w:pPr>
        <w:rPr/>
      </w:pPr>
      <w:r w:rsidDel="00000000" w:rsidR="00000000" w:rsidRPr="00000000">
        <w:rPr>
          <w:rtl w:val="0"/>
        </w:rPr>
        <w:t xml:space="preserve">⚠️ Critical deduction if segmentation logic is incorrect or inconsistent.</w:t>
      </w:r>
    </w:p>
    <w:p w:rsidR="00000000" w:rsidDel="00000000" w:rsidP="00000000" w:rsidRDefault="00000000" w:rsidRPr="00000000" w14:paraId="00000027">
      <w:pPr>
        <w:rPr/>
      </w:pPr>
      <w:r w:rsidDel="00000000" w:rsidR="00000000" w:rsidRPr="00000000">
        <w:rPr>
          <w:b w:val="1"/>
          <w:bCs w:val="1"/>
          <w:rtl w:val="0"/>
        </w:rPr>
        <w:t xml:space="preserve">1.4 Trend &amp; Comparative Analysis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dashboard must accurately reflect trends and enable meaningful comparisons across dimensions.</w:t>
      </w:r>
    </w:p>
    <w:p w:rsidR="00000000" w:rsidDel="00000000" w:rsidP="00000000" w:rsidRDefault="00000000" w:rsidRPr="00000000" w14:paraId="00000029">
      <w:pPr>
        <w:rPr/>
      </w:pPr>
      <w:r w:rsidDel="00000000" w:rsidR="00000000" w:rsidRPr="00000000">
        <w:rPr>
          <w:b w:val="1"/>
          <w:bCs w:val="1"/>
          <w:rtl w:val="0"/>
        </w:rPr>
        <w:t xml:space="preserve">Judges will check:</w:t>
      </w:r>
      <w:r w:rsidDel="00000000" w:rsidR="00000000" w:rsidRPr="00000000">
        <w:rPr>
          <w:rtl w:val="0"/>
        </w:rPr>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Correct period-over-period and cross-dimensional comparisons</w:t>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Trend direction is accurate and clearly communicated</w:t>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Comparisons work correctly across all applied filters</w:t>
      </w:r>
    </w:p>
    <w:p w:rsidR="00000000" w:rsidDel="00000000" w:rsidP="00000000" w:rsidRDefault="00000000" w:rsidRPr="00000000" w14:paraId="0000002D">
      <w:pPr>
        <w:rPr/>
      </w:pPr>
      <w:r w:rsidDel="00000000" w:rsidR="00000000" w:rsidRPr="00000000">
        <w:rPr>
          <w:b w:val="1"/>
          <w:bCs w:val="1"/>
          <w:rtl w:val="0"/>
        </w:rPr>
        <w:t xml:space="preserve">1.5 Multi-Dimensional Breakdown</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Participants should demonstrate the ability to analyse data across multiple dimensions simultaneously.</w:t>
      </w:r>
    </w:p>
    <w:p w:rsidR="00000000" w:rsidDel="00000000" w:rsidP="00000000" w:rsidRDefault="00000000" w:rsidRPr="00000000" w14:paraId="0000002F">
      <w:pPr>
        <w:rPr/>
      </w:pPr>
      <w:r w:rsidDel="00000000" w:rsidR="00000000" w:rsidRPr="00000000">
        <w:rPr>
          <w:b w:val="1"/>
          <w:bCs w:val="1"/>
          <w:rtl w:val="0"/>
        </w:rPr>
        <w:t xml:space="preserve">Expected capabilities:</w:t>
      </w:r>
      <w:r w:rsidDel="00000000" w:rsidR="00000000" w:rsidRPr="00000000">
        <w:rPr>
          <w:rtl w:val="0"/>
        </w:rPr>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Analysis sliced by multiple attributes in combination</w:t>
      </w:r>
    </w:p>
    <w:p w:rsidR="00000000" w:rsidDel="00000000" w:rsidP="00000000" w:rsidRDefault="00000000" w:rsidRPr="00000000" w14:paraId="00000031">
      <w:pPr>
        <w:numPr>
          <w:ilvl w:val="0"/>
          <w:numId w:val="2"/>
        </w:numPr>
        <w:ind w:left="720" w:hanging="360"/>
        <w:rPr/>
      </w:pPr>
      <w:r w:rsidDel="00000000" w:rsidR="00000000" w:rsidRPr="00000000">
        <w:rPr>
          <w:rtl w:val="0"/>
        </w:rPr>
        <w:t xml:space="preserve">Rankings and distributions correctly computed at each dimension level</w:t>
      </w:r>
    </w:p>
    <w:p w:rsidR="00000000" w:rsidDel="00000000" w:rsidP="00000000" w:rsidRDefault="00000000" w:rsidRPr="00000000" w14:paraId="00000032">
      <w:pPr>
        <w:numPr>
          <w:ilvl w:val="0"/>
          <w:numId w:val="2"/>
        </w:numPr>
        <w:ind w:left="720" w:hanging="360"/>
        <w:rPr/>
      </w:pPr>
      <w:r w:rsidDel="00000000" w:rsidR="00000000" w:rsidRPr="00000000">
        <w:rPr>
          <w:rtl w:val="0"/>
        </w:rPr>
        <w:t xml:space="preserve">All dimension filters interact correctly with every visual</w:t>
      </w:r>
    </w:p>
    <w:p w:rsidR="00000000" w:rsidDel="00000000" w:rsidP="00000000" w:rsidRDefault="00000000" w:rsidRPr="00000000" w14:paraId="00000033">
      <w:pPr>
        <w:rPr/>
      </w:pPr>
      <w:r w:rsidDel="00000000" w:rsidR="00000000" w:rsidRPr="00000000">
        <w:rPr>
          <w:b w:val="1"/>
          <w:bCs w:val="1"/>
          <w:rtl w:val="0"/>
        </w:rPr>
        <w:t xml:space="preserve">1.6 Data Accuracy &amp; Source Alignment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All displayed values must faithfully reflect the underlying dataset.</w:t>
      </w:r>
    </w:p>
    <w:p w:rsidR="00000000" w:rsidDel="00000000" w:rsidP="00000000" w:rsidRDefault="00000000" w:rsidRPr="00000000" w14:paraId="00000035">
      <w:pPr>
        <w:rPr/>
      </w:pPr>
      <w:r w:rsidDel="00000000" w:rsidR="00000000" w:rsidRPr="00000000">
        <w:rPr>
          <w:b w:val="1"/>
          <w:bCs w:val="1"/>
          <w:rtl w:val="0"/>
        </w:rPr>
        <w:t xml:space="preserve">Judges will verify:</w:t>
      </w:r>
      <w:r w:rsidDel="00000000" w:rsidR="00000000" w:rsidRPr="00000000">
        <w:rPr>
          <w:rtl w:val="0"/>
        </w:rPr>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Figures align with source data at all granularity levels</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Rates, percentages, and ratios are calculated using correct denominators</w:t>
      </w:r>
    </w:p>
    <w:p w:rsidR="00000000" w:rsidDel="00000000" w:rsidP="00000000" w:rsidRDefault="00000000" w:rsidRPr="00000000" w14:paraId="00000038">
      <w:pPr>
        <w:numPr>
          <w:ilvl w:val="0"/>
          <w:numId w:val="2"/>
        </w:numPr>
        <w:ind w:left="720" w:hanging="360"/>
        <w:rPr/>
      </w:pPr>
      <w:r w:rsidDel="00000000" w:rsidR="00000000" w:rsidRPr="00000000">
        <w:rPr>
          <w:rtl w:val="0"/>
        </w:rPr>
        <w:t xml:space="preserve">No data distortion from incorrect joins or model errors</w:t>
      </w:r>
    </w:p>
    <w:p w:rsidR="00000000" w:rsidDel="00000000" w:rsidP="00000000" w:rsidRDefault="00000000" w:rsidRPr="00000000" w14:paraId="00000039">
      <w:pPr>
        <w:rPr/>
      </w:pPr>
      <w:r w:rsidDel="00000000" w:rsidR="00000000" w:rsidRPr="00000000">
        <w:rPr>
          <w:b w:val="1"/>
          <w:bCs w:val="1"/>
          <w:rtl w:val="0"/>
        </w:rPr>
        <w:t xml:space="preserve">1.7 Mandatory Disclaimer &amp; Branding</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following must be clearly visible:</w:t>
      </w:r>
    </w:p>
    <w:p w:rsidR="00000000" w:rsidDel="00000000" w:rsidP="00000000" w:rsidRDefault="00000000" w:rsidRPr="00000000" w14:paraId="0000003B">
      <w:pPr>
        <w:rPr/>
      </w:pPr>
      <w:r w:rsidDel="00000000" w:rsidR="00000000" w:rsidRPr="00000000">
        <w:rPr>
          <w:rtl w:val="0"/>
        </w:rPr>
        <w:t xml:space="preserve">This is generated using AI and demographic data; the results may not be fully accurate.</w:t>
      </w:r>
    </w:p>
    <w:p w:rsidR="00000000" w:rsidDel="00000000" w:rsidP="00000000" w:rsidRDefault="00000000" w:rsidRPr="00000000" w14:paraId="0000003C">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Visible on main dashboard</w:t>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Visible in result post</w:t>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Proper formatting (not hidden in tooltip)</w:t>
      </w:r>
    </w:p>
    <w:p w:rsidR="00000000" w:rsidDel="00000000" w:rsidP="00000000" w:rsidRDefault="00000000" w:rsidRPr="00000000" w14:paraId="00000040">
      <w:pPr>
        <w:numPr>
          <w:ilvl w:val="0"/>
          <w:numId w:val="2"/>
        </w:numPr>
        <w:ind w:left="720" w:hanging="360"/>
        <w:rPr/>
      </w:pPr>
      <w:r w:rsidDel="00000000" w:rsidR="00000000" w:rsidRPr="00000000">
        <w:rPr>
          <w:rtl w:val="0"/>
        </w:rPr>
        <w:t xml:space="preserve">Organizer logo used</w:t>
      </w:r>
    </w:p>
    <w:p w:rsidR="00000000" w:rsidDel="00000000" w:rsidP="00000000" w:rsidRDefault="00000000" w:rsidRPr="00000000" w14:paraId="00000041">
      <w:pPr>
        <w:rPr/>
      </w:pPr>
      <w:r w:rsidDel="00000000" w:rsidR="00000000" w:rsidRPr="00000000">
        <w:rPr>
          <w:b w:val="1"/>
          <w:bCs w:val="1"/>
          <w:sz w:val="28"/>
          <w:szCs w:val="28"/>
          <w:rtl w:val="0"/>
        </w:rPr>
        <w:t xml:space="preserve">2. Data Modelling &amp; Performance </w:t>
      </w:r>
      <w:r w:rsidDel="00000000" w:rsidR="00000000" w:rsidRPr="00000000">
        <w:rPr>
          <w:b w:val="1"/>
          <w:bCs w:val="1"/>
          <w:rtl w:val="0"/>
        </w:rPr>
        <w:t xml:space="preserve">— 20%</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evaluates the technical foundation of the report.</w:t>
      </w:r>
    </w:p>
    <w:p w:rsidR="00000000" w:rsidDel="00000000" w:rsidP="00000000" w:rsidRDefault="00000000" w:rsidRPr="00000000" w14:paraId="00000043">
      <w:pPr>
        <w:rPr/>
      </w:pPr>
      <w:r w:rsidDel="00000000" w:rsidR="00000000" w:rsidRPr="00000000">
        <w:rPr>
          <w:b w:val="1"/>
          <w:bCs w:val="1"/>
          <w:rtl w:val="0"/>
        </w:rPr>
        <w:t xml:space="preserve">2.1 Data Model Design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Strong preference for a well-structured Star Schema.</w:t>
      </w:r>
    </w:p>
    <w:p w:rsidR="00000000" w:rsidDel="00000000" w:rsidP="00000000" w:rsidRDefault="00000000" w:rsidRPr="00000000" w14:paraId="00000045">
      <w:pPr>
        <w:rPr/>
      </w:pPr>
      <w:r w:rsidDel="00000000" w:rsidR="00000000" w:rsidRPr="00000000">
        <w:rPr>
          <w:b w:val="1"/>
          <w:bCs w:val="1"/>
          <w:rtl w:val="0"/>
        </w:rPr>
        <w:t xml:space="preserve">Judges will check:</w:t>
      </w:r>
      <w:r w:rsidDel="00000000" w:rsidR="00000000" w:rsidRPr="00000000">
        <w:rPr>
          <w:rtl w:val="0"/>
        </w:rPr>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Clear Fact vs Dimension table separation</w:t>
      </w:r>
    </w:p>
    <w:p w:rsidR="00000000" w:rsidDel="00000000" w:rsidP="00000000" w:rsidRDefault="00000000" w:rsidRPr="00000000" w14:paraId="00000047">
      <w:pPr>
        <w:numPr>
          <w:ilvl w:val="0"/>
          <w:numId w:val="2"/>
        </w:numPr>
        <w:ind w:left="720" w:hanging="360"/>
        <w:rPr/>
      </w:pPr>
      <w:r w:rsidDel="00000000" w:rsidR="00000000" w:rsidRPr="00000000">
        <w:rPr>
          <w:rtl w:val="0"/>
        </w:rPr>
        <w:t xml:space="preserve">Minimal complexity; clean and efficient model design</w:t>
      </w:r>
    </w:p>
    <w:p w:rsidR="00000000" w:rsidDel="00000000" w:rsidP="00000000" w:rsidRDefault="00000000" w:rsidRPr="00000000" w14:paraId="00000048">
      <w:pPr>
        <w:numPr>
          <w:ilvl w:val="0"/>
          <w:numId w:val="2"/>
        </w:numPr>
        <w:ind w:left="720" w:hanging="360"/>
        <w:rPr/>
      </w:pPr>
      <w:r w:rsidDel="00000000" w:rsidR="00000000" w:rsidRPr="00000000">
        <w:rPr>
          <w:rtl w:val="0"/>
        </w:rPr>
        <w:t xml:space="preserve">No circular dependencies or broken relationships</w:t>
      </w:r>
    </w:p>
    <w:p w:rsidR="00000000" w:rsidDel="00000000" w:rsidP="00000000" w:rsidRDefault="00000000" w:rsidRPr="00000000" w14:paraId="00000049">
      <w:pPr>
        <w:numPr>
          <w:ilvl w:val="0"/>
          <w:numId w:val="2"/>
        </w:numPr>
        <w:ind w:left="720" w:hanging="360"/>
        <w:rPr/>
      </w:pPr>
      <w:r w:rsidDel="00000000" w:rsidR="00000000" w:rsidRPr="00000000">
        <w:rPr>
          <w:rtl w:val="0"/>
        </w:rPr>
        <w:t xml:space="preserve">Consistent and meaningful naming conventions</w:t>
      </w:r>
    </w:p>
    <w:p w:rsidR="00000000" w:rsidDel="00000000" w:rsidP="00000000" w:rsidRDefault="00000000" w:rsidRPr="00000000" w14:paraId="0000004A">
      <w:pPr>
        <w:rPr/>
      </w:pPr>
      <w:r w:rsidDel="00000000" w:rsidR="00000000" w:rsidRPr="00000000">
        <w:rPr>
          <w:b w:val="1"/>
          <w:bCs w:val="1"/>
          <w:rtl w:val="0"/>
        </w:rPr>
        <w:t xml:space="preserve">2.2 Relationship Quality</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Evaluation includes:</w:t>
      </w:r>
      <w:r w:rsidDel="00000000" w:rsidR="00000000" w:rsidRPr="00000000">
        <w:rPr>
          <w:rtl w:val="0"/>
        </w:rPr>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Correct cardinality and filter direction on all relationships</w:t>
      </w:r>
    </w:p>
    <w:p w:rsidR="00000000" w:rsidDel="00000000" w:rsidP="00000000" w:rsidRDefault="00000000" w:rsidRPr="00000000" w14:paraId="0000004D">
      <w:pPr>
        <w:numPr>
          <w:ilvl w:val="0"/>
          <w:numId w:val="2"/>
        </w:numPr>
        <w:ind w:left="720" w:hanging="360"/>
        <w:rPr/>
      </w:pPr>
      <w:r w:rsidDel="00000000" w:rsidR="00000000" w:rsidRPr="00000000">
        <w:rPr>
          <w:rtl w:val="0"/>
        </w:rPr>
        <w:t xml:space="preserve">No ambiguous or unintended cross-filtering paths</w:t>
      </w:r>
    </w:p>
    <w:p w:rsidR="00000000" w:rsidDel="00000000" w:rsidP="00000000" w:rsidRDefault="00000000" w:rsidRPr="00000000" w14:paraId="0000004E">
      <w:pPr>
        <w:numPr>
          <w:ilvl w:val="0"/>
          <w:numId w:val="2"/>
        </w:numPr>
        <w:ind w:left="720" w:hanging="360"/>
        <w:rPr/>
      </w:pPr>
      <w:r w:rsidDel="00000000" w:rsidR="00000000" w:rsidRPr="00000000">
        <w:rPr>
          <w:rtl w:val="0"/>
        </w:rPr>
        <w:t xml:space="preserve">Bidirectional filters used only where justified</w:t>
      </w:r>
    </w:p>
    <w:p w:rsidR="00000000" w:rsidDel="00000000" w:rsidP="00000000" w:rsidRDefault="00000000" w:rsidRPr="00000000" w14:paraId="0000004F">
      <w:pPr>
        <w:rPr/>
      </w:pPr>
      <w:r w:rsidDel="00000000" w:rsidR="00000000" w:rsidRPr="00000000">
        <w:rPr>
          <w:b w:val="1"/>
          <w:bCs w:val="1"/>
          <w:rtl w:val="0"/>
        </w:rPr>
        <w:t xml:space="preserve">2.3 DAX Best Practices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Measures should follow optimisation and maintainability standards.</w:t>
      </w:r>
    </w:p>
    <w:p w:rsidR="00000000" w:rsidDel="00000000" w:rsidP="00000000" w:rsidRDefault="00000000" w:rsidRPr="00000000" w14:paraId="00000051">
      <w:pPr>
        <w:rPr/>
      </w:pPr>
      <w:r w:rsidDel="00000000" w:rsidR="00000000" w:rsidRPr="00000000">
        <w:rPr>
          <w:b w:val="1"/>
          <w:bCs w:val="1"/>
          <w:rtl w:val="0"/>
        </w:rPr>
        <w:t xml:space="preserve">Judges will look for:</w:t>
      </w:r>
      <w:r w:rsidDel="00000000" w:rsidR="00000000" w:rsidRPr="00000000">
        <w:rPr>
          <w:rtl w:val="0"/>
        </w:rPr>
      </w:r>
    </w:p>
    <w:p w:rsidR="00000000" w:rsidDel="00000000" w:rsidP="00000000" w:rsidRDefault="00000000" w:rsidRPr="00000000" w14:paraId="00000052">
      <w:pPr>
        <w:numPr>
          <w:ilvl w:val="0"/>
          <w:numId w:val="2"/>
        </w:numPr>
        <w:ind w:left="720" w:hanging="360"/>
        <w:rPr/>
      </w:pPr>
      <w:r w:rsidDel="00000000" w:rsidR="00000000" w:rsidRPr="00000000">
        <w:rPr>
          <w:rtl w:val="0"/>
        </w:rPr>
        <w:t xml:space="preserve">Measures preferred over calculated columns where appropriate</w:t>
      </w:r>
    </w:p>
    <w:p w:rsidR="00000000" w:rsidDel="00000000" w:rsidP="00000000" w:rsidRDefault="00000000" w:rsidRPr="00000000" w14:paraId="00000053">
      <w:pPr>
        <w:numPr>
          <w:ilvl w:val="0"/>
          <w:numId w:val="2"/>
        </w:numPr>
        <w:ind w:left="720" w:hanging="360"/>
        <w:rPr/>
      </w:pPr>
      <w:r w:rsidDel="00000000" w:rsidR="00000000" w:rsidRPr="00000000">
        <w:rPr>
          <w:rtl w:val="0"/>
        </w:rPr>
        <w:t xml:space="preserve">Use of variables (VAR) for clarity and performance</w:t>
      </w:r>
    </w:p>
    <w:p w:rsidR="00000000" w:rsidDel="00000000" w:rsidP="00000000" w:rsidRDefault="00000000" w:rsidRPr="00000000" w14:paraId="00000054">
      <w:pPr>
        <w:numPr>
          <w:ilvl w:val="0"/>
          <w:numId w:val="2"/>
        </w:numPr>
        <w:ind w:left="720" w:hanging="360"/>
        <w:rPr/>
      </w:pPr>
      <w:r w:rsidDel="00000000" w:rsidR="00000000" w:rsidRPr="00000000">
        <w:rPr>
          <w:rtl w:val="0"/>
        </w:rPr>
        <w:t xml:space="preserve">Reusable, well-organised measures with logical display folders</w:t>
      </w:r>
    </w:p>
    <w:p w:rsidR="00000000" w:rsidDel="00000000" w:rsidP="00000000" w:rsidRDefault="00000000" w:rsidRPr="00000000" w14:paraId="00000055">
      <w:pPr>
        <w:numPr>
          <w:ilvl w:val="0"/>
          <w:numId w:val="2"/>
        </w:numPr>
        <w:ind w:left="720" w:hanging="360"/>
        <w:rPr/>
      </w:pPr>
      <w:r w:rsidDel="00000000" w:rsidR="00000000" w:rsidRPr="00000000">
        <w:rPr>
          <w:rtl w:val="0"/>
        </w:rPr>
        <w:t xml:space="preserve">Avoidance of heavy row-by-row iteration</w:t>
      </w:r>
    </w:p>
    <w:p w:rsidR="00000000" w:rsidDel="00000000" w:rsidP="00000000" w:rsidRDefault="00000000" w:rsidRPr="00000000" w14:paraId="00000056">
      <w:pPr>
        <w:numPr>
          <w:ilvl w:val="0"/>
          <w:numId w:val="2"/>
        </w:numPr>
        <w:ind w:left="720" w:hanging="360"/>
        <w:rPr/>
      </w:pPr>
      <w:r w:rsidDel="00000000" w:rsidR="00000000" w:rsidRPr="00000000">
        <w:rPr>
          <w:rtl w:val="0"/>
        </w:rPr>
        <w:t xml:space="preserve">Proper time intelligence functions where the analysis requires it</w:t>
      </w:r>
    </w:p>
    <w:p w:rsidR="00000000" w:rsidDel="00000000" w:rsidP="00000000" w:rsidRDefault="00000000" w:rsidRPr="00000000" w14:paraId="00000057">
      <w:pPr>
        <w:rPr/>
      </w:pPr>
      <w:r w:rsidDel="00000000" w:rsidR="00000000" w:rsidRPr="00000000">
        <w:rPr>
          <w:b w:val="1"/>
          <w:bCs w:val="1"/>
          <w:rtl w:val="0"/>
        </w:rPr>
        <w:t xml:space="preserve">2.4 Cross-Filtering &amp; Slicer Behaviour</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slicers and filters must behave consistently across the entire report.</w:t>
      </w:r>
    </w:p>
    <w:p w:rsidR="00000000" w:rsidDel="00000000" w:rsidP="00000000" w:rsidRDefault="00000000" w:rsidRPr="00000000" w14:paraId="00000059">
      <w:pPr>
        <w:rPr/>
      </w:pPr>
      <w:r w:rsidDel="00000000" w:rsidR="00000000" w:rsidRPr="00000000">
        <w:rPr>
          <w:b w:val="1"/>
          <w:bCs w:val="1"/>
          <w:rtl w:val="0"/>
        </w:rPr>
        <w:t xml:space="preserve">Validation includes:</w:t>
      </w:r>
      <w:r w:rsidDel="00000000" w:rsidR="00000000" w:rsidRPr="00000000">
        <w:rPr>
          <w:rtl w:val="0"/>
        </w:rPr>
      </w:r>
    </w:p>
    <w:p w:rsidR="00000000" w:rsidDel="00000000" w:rsidP="00000000" w:rsidRDefault="00000000" w:rsidRPr="00000000" w14:paraId="0000005A">
      <w:pPr>
        <w:numPr>
          <w:ilvl w:val="0"/>
          <w:numId w:val="2"/>
        </w:numPr>
        <w:ind w:left="720" w:hanging="360"/>
        <w:rPr/>
      </w:pPr>
      <w:r w:rsidDel="00000000" w:rsidR="00000000" w:rsidRPr="00000000">
        <w:rPr>
          <w:rtl w:val="0"/>
        </w:rPr>
        <w:t xml:space="preserve">No broken or unresponsive visuals after filter selection</w:t>
      </w:r>
    </w:p>
    <w:p w:rsidR="00000000" w:rsidDel="00000000" w:rsidP="00000000" w:rsidRDefault="00000000" w:rsidRPr="00000000" w14:paraId="0000005B">
      <w:pPr>
        <w:numPr>
          <w:ilvl w:val="0"/>
          <w:numId w:val="2"/>
        </w:numPr>
        <w:ind w:left="720" w:hanging="360"/>
        <w:rPr/>
      </w:pPr>
      <w:r w:rsidDel="00000000" w:rsidR="00000000" w:rsidRPr="00000000">
        <w:rPr>
          <w:rtl w:val="0"/>
        </w:rPr>
        <w:t xml:space="preserve">All KPI cards and charts respond correctly to every slicer</w:t>
      </w:r>
    </w:p>
    <w:p w:rsidR="00000000" w:rsidDel="00000000" w:rsidP="00000000" w:rsidRDefault="00000000" w:rsidRPr="00000000" w14:paraId="0000005C">
      <w:pPr>
        <w:numPr>
          <w:ilvl w:val="0"/>
          <w:numId w:val="2"/>
        </w:numPr>
        <w:ind w:left="720" w:hanging="360"/>
        <w:rPr/>
      </w:pPr>
      <w:r w:rsidDel="00000000" w:rsidR="00000000" w:rsidRPr="00000000">
        <w:rPr>
          <w:rtl w:val="0"/>
        </w:rPr>
        <w:t xml:space="preserve">Drill-through context is preserved correctly</w:t>
      </w:r>
    </w:p>
    <w:p w:rsidR="00000000" w:rsidDel="00000000" w:rsidP="00000000" w:rsidRDefault="00000000" w:rsidRPr="00000000" w14:paraId="0000005D">
      <w:pPr>
        <w:rPr/>
      </w:pPr>
      <w:r w:rsidDel="00000000" w:rsidR="00000000" w:rsidRPr="00000000">
        <w:rPr>
          <w:b w:val="1"/>
          <w:bCs w:val="1"/>
          <w:rtl w:val="0"/>
        </w:rPr>
        <w:t xml:space="preserve">2.5 Performance &amp; Responsiveness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report should feel smooth and responsive throughout.</w:t>
      </w:r>
    </w:p>
    <w:p w:rsidR="00000000" w:rsidDel="00000000" w:rsidP="00000000" w:rsidRDefault="00000000" w:rsidRPr="00000000" w14:paraId="0000005F">
      <w:pPr>
        <w:rPr/>
      </w:pPr>
      <w:r w:rsidDel="00000000" w:rsidR="00000000" w:rsidRPr="00000000">
        <w:rPr>
          <w:b w:val="1"/>
          <w:bCs w:val="1"/>
          <w:rtl w:val="0"/>
        </w:rPr>
        <w:t xml:space="preserve">Judges will check:</w:t>
      </w:r>
      <w:r w:rsidDel="00000000" w:rsidR="00000000" w:rsidRPr="00000000">
        <w:rPr>
          <w:rtl w:val="0"/>
        </w:rPr>
      </w:r>
    </w:p>
    <w:p w:rsidR="00000000" w:rsidDel="00000000" w:rsidP="00000000" w:rsidRDefault="00000000" w:rsidRPr="00000000" w14:paraId="00000060">
      <w:pPr>
        <w:numPr>
          <w:ilvl w:val="0"/>
          <w:numId w:val="2"/>
        </w:numPr>
        <w:ind w:left="720" w:hanging="360"/>
        <w:rPr/>
      </w:pPr>
      <w:r w:rsidDel="00000000" w:rsidR="00000000" w:rsidRPr="00000000">
        <w:rPr>
          <w:rtl w:val="0"/>
        </w:rPr>
        <w:t xml:space="preserve">Page load time</w:t>
      </w:r>
    </w:p>
    <w:p w:rsidR="00000000" w:rsidDel="00000000" w:rsidP="00000000" w:rsidRDefault="00000000" w:rsidRPr="00000000" w14:paraId="00000061">
      <w:pPr>
        <w:numPr>
          <w:ilvl w:val="0"/>
          <w:numId w:val="2"/>
        </w:numPr>
        <w:ind w:left="720" w:hanging="360"/>
        <w:rPr/>
      </w:pPr>
      <w:r w:rsidDel="00000000" w:rsidR="00000000" w:rsidRPr="00000000">
        <w:rPr>
          <w:rtl w:val="0"/>
        </w:rPr>
        <w:t xml:space="preserve">Visual rendering speed</w:t>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Overall model size and measure efficiency</w:t>
      </w:r>
    </w:p>
    <w:p w:rsidR="00000000" w:rsidDel="00000000" w:rsidP="00000000" w:rsidRDefault="00000000" w:rsidRPr="00000000" w14:paraId="00000063">
      <w:pPr>
        <w:rPr/>
      </w:pPr>
      <w:r w:rsidDel="00000000" w:rsidR="00000000" w:rsidRPr="00000000">
        <w:rPr>
          <w:b w:val="1"/>
          <w:bCs w:val="1"/>
          <w:sz w:val="28"/>
          <w:szCs w:val="28"/>
          <w:rtl w:val="0"/>
        </w:rPr>
        <w:t xml:space="preserve">3. Visual Accuracy &amp; Interactivity </w:t>
      </w:r>
      <w:r w:rsidDel="00000000" w:rsidR="00000000" w:rsidRPr="00000000">
        <w:rPr>
          <w:b w:val="1"/>
          <w:bCs w:val="1"/>
          <w:rtl w:val="0"/>
        </w:rPr>
        <w:t xml:space="preserve">— 20%</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Focuses on whether visuals are truthful, useful, and interactive.</w:t>
      </w:r>
    </w:p>
    <w:p w:rsidR="00000000" w:rsidDel="00000000" w:rsidP="00000000" w:rsidRDefault="00000000" w:rsidRPr="00000000" w14:paraId="00000065">
      <w:pPr>
        <w:rPr/>
      </w:pPr>
      <w:r w:rsidDel="00000000" w:rsidR="00000000" w:rsidRPr="00000000">
        <w:rPr>
          <w:b w:val="1"/>
          <w:bCs w:val="1"/>
          <w:rtl w:val="0"/>
        </w:rPr>
        <w:t xml:space="preserve">3.1 Aggregation Correctness</w:t>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Checks include:</w:t>
      </w:r>
      <w:r w:rsidDel="00000000" w:rsidR="00000000" w:rsidRPr="00000000">
        <w:rPr>
          <w:rtl w:val="0"/>
        </w:rPr>
      </w:r>
    </w:p>
    <w:p w:rsidR="00000000" w:rsidDel="00000000" w:rsidP="00000000" w:rsidRDefault="00000000" w:rsidRPr="00000000" w14:paraId="00000067">
      <w:pPr>
        <w:numPr>
          <w:ilvl w:val="0"/>
          <w:numId w:val="2"/>
        </w:numPr>
        <w:ind w:left="720" w:hanging="360"/>
        <w:rPr/>
      </w:pPr>
      <w:r w:rsidDel="00000000" w:rsidR="00000000" w:rsidRPr="00000000">
        <w:rPr>
          <w:rtl w:val="0"/>
        </w:rPr>
        <w:t xml:space="preserve">No double counting across any dimension</w:t>
      </w:r>
    </w:p>
    <w:p w:rsidR="00000000" w:rsidDel="00000000" w:rsidP="00000000" w:rsidRDefault="00000000" w:rsidRPr="00000000" w14:paraId="00000068">
      <w:pPr>
        <w:numPr>
          <w:ilvl w:val="0"/>
          <w:numId w:val="2"/>
        </w:numPr>
        <w:ind w:left="720" w:hanging="360"/>
        <w:rPr/>
      </w:pPr>
      <w:r w:rsidDel="00000000" w:rsidR="00000000" w:rsidRPr="00000000">
        <w:rPr>
          <w:rtl w:val="0"/>
        </w:rPr>
        <w:t xml:space="preserve">Appropriate use of averages, sums, and counts depending on context</w:t>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Visual totals match corresponding KPI card values</w:t>
      </w:r>
    </w:p>
    <w:p w:rsidR="00000000" w:rsidDel="00000000" w:rsidP="00000000" w:rsidRDefault="00000000" w:rsidRPr="00000000" w14:paraId="0000006A">
      <w:pPr>
        <w:rPr/>
      </w:pPr>
      <w:r w:rsidDel="00000000" w:rsidR="00000000" w:rsidRPr="00000000">
        <w:rPr>
          <w:b w:val="1"/>
          <w:bCs w:val="1"/>
          <w:rtl w:val="0"/>
        </w:rPr>
        <w:t xml:space="preserve">3.2 Conditional Formatting &amp; Visual Emphasis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Key categories and outliers must be visually distinguishable.</w:t>
      </w:r>
    </w:p>
    <w:p w:rsidR="00000000" w:rsidDel="00000000" w:rsidP="00000000" w:rsidRDefault="00000000" w:rsidRPr="00000000" w14:paraId="0000006C">
      <w:pPr>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6D">
      <w:pPr>
        <w:numPr>
          <w:ilvl w:val="0"/>
          <w:numId w:val="2"/>
        </w:numPr>
        <w:ind w:left="720" w:hanging="360"/>
        <w:rPr/>
      </w:pPr>
      <w:r w:rsidDel="00000000" w:rsidR="00000000" w:rsidRPr="00000000">
        <w:rPr>
          <w:rtl w:val="0"/>
        </w:rPr>
        <w:t xml:space="preserve">Logical and intuitive colour mapping aligned to the data story</w:t>
      </w:r>
    </w:p>
    <w:p w:rsidR="00000000" w:rsidDel="00000000" w:rsidP="00000000" w:rsidRDefault="00000000" w:rsidRPr="00000000" w14:paraId="0000006E">
      <w:pPr>
        <w:numPr>
          <w:ilvl w:val="0"/>
          <w:numId w:val="2"/>
        </w:numPr>
        <w:ind w:left="720" w:hanging="360"/>
        <w:rPr/>
      </w:pPr>
      <w:r w:rsidDel="00000000" w:rsidR="00000000" w:rsidRPr="00000000">
        <w:rPr>
          <w:rtl w:val="0"/>
        </w:rPr>
        <w:t xml:space="preserve">Consistent application of formatting rules across all pages</w:t>
      </w:r>
    </w:p>
    <w:p w:rsidR="00000000" w:rsidDel="00000000" w:rsidP="00000000" w:rsidRDefault="00000000" w:rsidRPr="00000000" w14:paraId="0000006F">
      <w:pPr>
        <w:numPr>
          <w:ilvl w:val="0"/>
          <w:numId w:val="2"/>
        </w:numPr>
        <w:ind w:left="720" w:hanging="360"/>
        <w:rPr/>
      </w:pPr>
      <w:r w:rsidDel="00000000" w:rsidR="00000000" w:rsidRPr="00000000">
        <w:rPr>
          <w:rtl w:val="0"/>
        </w:rPr>
        <w:t xml:space="preserve">Sufficient contrast for accessibility</w:t>
      </w:r>
    </w:p>
    <w:p w:rsidR="00000000" w:rsidDel="00000000" w:rsidP="00000000" w:rsidRDefault="00000000" w:rsidRPr="00000000" w14:paraId="00000070">
      <w:pPr>
        <w:rPr/>
      </w:pPr>
      <w:r w:rsidDel="00000000" w:rsidR="00000000" w:rsidRPr="00000000">
        <w:rPr>
          <w:b w:val="1"/>
          <w:bCs w:val="1"/>
          <w:rtl w:val="0"/>
        </w:rPr>
        <w:t xml:space="preserve">3.3 Chart Integrity</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Judges will penalise:</w:t>
      </w:r>
      <w:r w:rsidDel="00000000" w:rsidR="00000000" w:rsidRPr="00000000">
        <w:rPr>
          <w:rtl w:val="0"/>
        </w:rPr>
      </w:r>
    </w:p>
    <w:p w:rsidR="00000000" w:rsidDel="00000000" w:rsidP="00000000" w:rsidRDefault="00000000" w:rsidRPr="00000000" w14:paraId="00000072">
      <w:pPr>
        <w:numPr>
          <w:ilvl w:val="0"/>
          <w:numId w:val="2"/>
        </w:numPr>
        <w:ind w:left="720" w:hanging="360"/>
        <w:rPr/>
      </w:pPr>
      <w:r w:rsidDel="00000000" w:rsidR="00000000" w:rsidRPr="00000000">
        <w:rPr>
          <w:rtl w:val="0"/>
        </w:rPr>
        <w:t xml:space="preserve">Misleading axes, truncated scales, or distorted proportions</w:t>
      </w:r>
    </w:p>
    <w:p w:rsidR="00000000" w:rsidDel="00000000" w:rsidP="00000000" w:rsidRDefault="00000000" w:rsidRPr="00000000" w14:paraId="00000073">
      <w:pPr>
        <w:numPr>
          <w:ilvl w:val="0"/>
          <w:numId w:val="2"/>
        </w:numPr>
        <w:ind w:left="720" w:hanging="360"/>
        <w:rPr/>
      </w:pPr>
      <w:r w:rsidDel="00000000" w:rsidR="00000000" w:rsidRPr="00000000">
        <w:rPr>
          <w:rtl w:val="0"/>
        </w:rPr>
        <w:t xml:space="preserve">Inappropriate chart type for the intended analysis</w:t>
      </w:r>
    </w:p>
    <w:p w:rsidR="00000000" w:rsidDel="00000000" w:rsidP="00000000" w:rsidRDefault="00000000" w:rsidRPr="00000000" w14:paraId="00000074">
      <w:pPr>
        <w:numPr>
          <w:ilvl w:val="0"/>
          <w:numId w:val="2"/>
        </w:numPr>
        <w:ind w:left="720" w:hanging="360"/>
        <w:rPr/>
      </w:pPr>
      <w:r w:rsidDel="00000000" w:rsidR="00000000" w:rsidRPr="00000000">
        <w:rPr>
          <w:rtl w:val="0"/>
        </w:rPr>
        <w:t xml:space="preserve">Overcrowded or visually ambiguous charts</w:t>
      </w:r>
    </w:p>
    <w:p w:rsidR="00000000" w:rsidDel="00000000" w:rsidP="00000000" w:rsidRDefault="00000000" w:rsidRPr="00000000" w14:paraId="00000075">
      <w:pPr>
        <w:rPr/>
      </w:pPr>
      <w:r w:rsidDel="00000000" w:rsidR="00000000" w:rsidRPr="00000000">
        <w:rPr>
          <w:b w:val="1"/>
          <w:bCs w:val="1"/>
          <w:sz w:val="28"/>
          <w:szCs w:val="28"/>
          <w:rtl w:val="0"/>
        </w:rPr>
        <w:t xml:space="preserve">4. UX, Design &amp; Readability </w:t>
      </w:r>
      <w:r w:rsidDel="00000000" w:rsidR="00000000" w:rsidRPr="00000000">
        <w:rPr>
          <w:b w:val="1"/>
          <w:bCs w:val="1"/>
          <w:rtl w:val="0"/>
        </w:rPr>
        <w:t xml:space="preserve">— 10%</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Focus on usability for a broad, non-technical audience.</w:t>
      </w:r>
    </w:p>
    <w:p w:rsidR="00000000" w:rsidDel="00000000" w:rsidP="00000000" w:rsidRDefault="00000000" w:rsidRPr="00000000" w14:paraId="00000077">
      <w:pPr>
        <w:rPr/>
      </w:pPr>
      <w:r w:rsidDel="00000000" w:rsidR="00000000" w:rsidRPr="00000000">
        <w:rPr>
          <w:b w:val="1"/>
          <w:bCs w:val="1"/>
          <w:rtl w:val="0"/>
        </w:rPr>
        <w:t xml:space="preserve">4.1 Layout &amp; Visual Hierarchy</w:t>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Expected flow:</w:t>
      </w:r>
      <w:r w:rsidDel="00000000" w:rsidR="00000000" w:rsidRPr="00000000">
        <w:rPr>
          <w:rtl w:val="0"/>
        </w:rPr>
      </w:r>
    </w:p>
    <w:p w:rsidR="00000000" w:rsidDel="00000000" w:rsidP="00000000" w:rsidRDefault="00000000" w:rsidRPr="00000000" w14:paraId="00000079">
      <w:pPr>
        <w:rPr/>
      </w:pPr>
      <w:sdt>
        <w:sdtPr>
          <w:id w:val="997644641"/>
          <w:tag w:val="goog_rdk_3"/>
        </w:sdtPr>
        <w:sdtContent>
          <w:r w:rsidDel="00000000" w:rsidR="00000000" w:rsidRPr="00000000">
            <w:rPr>
              <w:rFonts w:ascii="Cardo" w:cs="Cardo" w:eastAsia="Cardo" w:hAnsi="Cardo"/>
              <w:rtl w:val="0"/>
            </w:rPr>
            <w:t xml:space="preserve">KPIs → Trends → Deep Analysis → Detail View</w:t>
          </w:r>
        </w:sdtContent>
      </w:sdt>
    </w:p>
    <w:p w:rsidR="00000000" w:rsidDel="00000000" w:rsidP="00000000" w:rsidRDefault="00000000" w:rsidRPr="00000000" w14:paraId="0000007A">
      <w:pPr>
        <w:rPr/>
      </w:pPr>
      <w:r w:rsidDel="00000000" w:rsidR="00000000" w:rsidRPr="00000000">
        <w:rPr>
          <w:b w:val="1"/>
          <w:bCs w:val="1"/>
          <w:rtl w:val="0"/>
        </w:rPr>
        <w:t xml:space="preserve">Judges assess:</w:t>
      </w:r>
      <w:r w:rsidDel="00000000" w:rsidR="00000000" w:rsidRPr="00000000">
        <w:rPr>
          <w:rtl w:val="0"/>
        </w:rPr>
      </w:r>
    </w:p>
    <w:p w:rsidR="00000000" w:rsidDel="00000000" w:rsidP="00000000" w:rsidRDefault="00000000" w:rsidRPr="00000000" w14:paraId="0000007B">
      <w:pPr>
        <w:numPr>
          <w:ilvl w:val="0"/>
          <w:numId w:val="2"/>
        </w:numPr>
        <w:ind w:left="720" w:hanging="360"/>
        <w:rPr/>
      </w:pPr>
      <w:r w:rsidDel="00000000" w:rsidR="00000000" w:rsidRPr="00000000">
        <w:rPr>
          <w:rtl w:val="0"/>
        </w:rPr>
        <w:t xml:space="preserve">Logical and intuitive reading path</w:t>
      </w:r>
    </w:p>
    <w:p w:rsidR="00000000" w:rsidDel="00000000" w:rsidP="00000000" w:rsidRDefault="00000000" w:rsidRPr="00000000" w14:paraId="0000007C">
      <w:pPr>
        <w:numPr>
          <w:ilvl w:val="0"/>
          <w:numId w:val="2"/>
        </w:numPr>
        <w:ind w:left="720" w:hanging="360"/>
        <w:rPr/>
      </w:pPr>
      <w:r w:rsidDel="00000000" w:rsidR="00000000" w:rsidRPr="00000000">
        <w:rPr>
          <w:rtl w:val="0"/>
        </w:rPr>
        <w:t xml:space="preserve">Most important insights visible without scrolling</w:t>
      </w:r>
    </w:p>
    <w:p w:rsidR="00000000" w:rsidDel="00000000" w:rsidP="00000000" w:rsidRDefault="00000000" w:rsidRPr="00000000" w14:paraId="0000007D">
      <w:pPr>
        <w:numPr>
          <w:ilvl w:val="0"/>
          <w:numId w:val="2"/>
        </w:numPr>
        <w:ind w:left="720" w:hanging="360"/>
        <w:rPr/>
      </w:pPr>
      <w:r w:rsidDel="00000000" w:rsidR="00000000" w:rsidRPr="00000000">
        <w:rPr>
          <w:rtl w:val="0"/>
        </w:rPr>
        <w:t xml:space="preserve">Balanced white space and well-proportioned layout</w:t>
      </w:r>
    </w:p>
    <w:p w:rsidR="00000000" w:rsidDel="00000000" w:rsidP="00000000" w:rsidRDefault="00000000" w:rsidRPr="00000000" w14:paraId="0000007E">
      <w:pPr>
        <w:rPr/>
      </w:pPr>
      <w:r w:rsidDel="00000000" w:rsidR="00000000" w:rsidRPr="00000000">
        <w:rPr>
          <w:b w:val="1"/>
          <w:bCs w:val="1"/>
          <w:rtl w:val="0"/>
        </w:rPr>
        <w:t xml:space="preserve">4.2 Colour Strategy</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Must be:</w:t>
      </w:r>
      <w:r w:rsidDel="00000000" w:rsidR="00000000" w:rsidRPr="00000000">
        <w:rPr>
          <w:rtl w:val="0"/>
        </w:rPr>
      </w:r>
    </w:p>
    <w:p w:rsidR="00000000" w:rsidDel="00000000" w:rsidP="00000000" w:rsidRDefault="00000000" w:rsidRPr="00000000" w14:paraId="00000080">
      <w:pPr>
        <w:numPr>
          <w:ilvl w:val="0"/>
          <w:numId w:val="2"/>
        </w:numPr>
        <w:ind w:left="720" w:hanging="360"/>
        <w:rPr/>
      </w:pPr>
      <w:r w:rsidDel="00000000" w:rsidR="00000000" w:rsidRPr="00000000">
        <w:rPr>
          <w:rtl w:val="0"/>
        </w:rPr>
        <w:t xml:space="preserve">Professional, consistent, and thematically appropriate</w:t>
      </w:r>
    </w:p>
    <w:p w:rsidR="00000000" w:rsidDel="00000000" w:rsidP="00000000" w:rsidRDefault="00000000" w:rsidRPr="00000000" w14:paraId="00000081">
      <w:pPr>
        <w:numPr>
          <w:ilvl w:val="0"/>
          <w:numId w:val="2"/>
        </w:numPr>
        <w:ind w:left="720" w:hanging="360"/>
        <w:rPr/>
      </w:pPr>
      <w:r w:rsidDel="00000000" w:rsidR="00000000" w:rsidRPr="00000000">
        <w:rPr>
          <w:rtl w:val="0"/>
        </w:rPr>
        <w:t xml:space="preserve">Accessible with sufficient contrast throughout</w:t>
      </w:r>
    </w:p>
    <w:p w:rsidR="00000000" w:rsidDel="00000000" w:rsidP="00000000" w:rsidRDefault="00000000" w:rsidRPr="00000000" w14:paraId="00000082">
      <w:pPr>
        <w:rPr/>
      </w:pPr>
      <w:r w:rsidDel="00000000" w:rsidR="00000000" w:rsidRPr="00000000">
        <w:rPr>
          <w:b w:val="1"/>
          <w:bCs w:val="1"/>
          <w:rtl w:val="0"/>
        </w:rPr>
        <w:t xml:space="preserve">Avoid:</w:t>
      </w:r>
      <w:r w:rsidDel="00000000" w:rsidR="00000000" w:rsidRPr="00000000">
        <w:rPr>
          <w:rtl w:val="0"/>
        </w:rPr>
      </w:r>
    </w:p>
    <w:p w:rsidR="00000000" w:rsidDel="00000000" w:rsidP="00000000" w:rsidRDefault="00000000" w:rsidRPr="00000000" w14:paraId="00000083">
      <w:pPr>
        <w:numPr>
          <w:ilvl w:val="0"/>
          <w:numId w:val="2"/>
        </w:numPr>
        <w:ind w:left="720" w:hanging="360"/>
        <w:rPr/>
      </w:pPr>
      <w:r w:rsidDel="00000000" w:rsidR="00000000" w:rsidRPr="00000000">
        <w:rPr>
          <w:rtl w:val="0"/>
        </w:rPr>
        <w:t xml:space="preserve">Excessive use of colours or distracting palettes</w:t>
      </w:r>
    </w:p>
    <w:p w:rsidR="00000000" w:rsidDel="00000000" w:rsidP="00000000" w:rsidRDefault="00000000" w:rsidRPr="00000000" w14:paraId="00000084">
      <w:pPr>
        <w:numPr>
          <w:ilvl w:val="0"/>
          <w:numId w:val="2"/>
        </w:numPr>
        <w:ind w:left="720" w:hanging="360"/>
        <w:rPr/>
      </w:pPr>
      <w:r w:rsidDel="00000000" w:rsidR="00000000" w:rsidRPr="00000000">
        <w:rPr>
          <w:rtl w:val="0"/>
        </w:rPr>
        <w:t xml:space="preserve">Low contrast or hard-to-read text and labels</w:t>
      </w:r>
    </w:p>
    <w:p w:rsidR="00000000" w:rsidDel="00000000" w:rsidP="00000000" w:rsidRDefault="00000000" w:rsidRPr="00000000" w14:paraId="00000085">
      <w:pPr>
        <w:rPr/>
      </w:pPr>
      <w:r w:rsidDel="00000000" w:rsidR="00000000" w:rsidRPr="00000000">
        <w:rPr>
          <w:b w:val="1"/>
          <w:bCs w:val="1"/>
          <w:rtl w:val="0"/>
        </w:rPr>
        <w:t xml:space="preserve">4.3 Typography &amp; Consistency</w:t>
      </w: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87">
      <w:pPr>
        <w:numPr>
          <w:ilvl w:val="0"/>
          <w:numId w:val="2"/>
        </w:numPr>
        <w:ind w:left="720" w:hanging="360"/>
        <w:rPr/>
      </w:pPr>
      <w:r w:rsidDel="00000000" w:rsidR="00000000" w:rsidRPr="00000000">
        <w:rPr>
          <w:rtl w:val="0"/>
        </w:rPr>
        <w:t xml:space="preserve">Consistent font family used throughout all pages</w:t>
      </w:r>
    </w:p>
    <w:p w:rsidR="00000000" w:rsidDel="00000000" w:rsidP="00000000" w:rsidRDefault="00000000" w:rsidRPr="00000000" w14:paraId="00000088">
      <w:pPr>
        <w:numPr>
          <w:ilvl w:val="0"/>
          <w:numId w:val="2"/>
        </w:numPr>
        <w:ind w:left="720" w:hanging="360"/>
        <w:rPr/>
      </w:pPr>
      <w:r w:rsidDel="00000000" w:rsidR="00000000" w:rsidRPr="00000000">
        <w:rPr>
          <w:rtl w:val="0"/>
        </w:rPr>
        <w:t xml:space="preserve">Clear size hierarchy from titles to labels</w:t>
      </w:r>
    </w:p>
    <w:p w:rsidR="00000000" w:rsidDel="00000000" w:rsidP="00000000" w:rsidRDefault="00000000" w:rsidRPr="00000000" w14:paraId="00000089">
      <w:pPr>
        <w:numPr>
          <w:ilvl w:val="0"/>
          <w:numId w:val="2"/>
        </w:numPr>
        <w:ind w:left="720" w:hanging="360"/>
        <w:rPr/>
      </w:pPr>
      <w:r w:rsidDel="00000000" w:rsidR="00000000" w:rsidRPr="00000000">
        <w:rPr>
          <w:rtl w:val="0"/>
        </w:rPr>
        <w:t xml:space="preserve">Consistent alignment, spacing, and padding</w:t>
      </w:r>
    </w:p>
    <w:p w:rsidR="00000000" w:rsidDel="00000000" w:rsidP="00000000" w:rsidRDefault="00000000" w:rsidRPr="00000000" w14:paraId="0000008A">
      <w:pPr>
        <w:rPr/>
      </w:pPr>
      <w:r w:rsidDel="00000000" w:rsidR="00000000" w:rsidRPr="00000000">
        <w:rPr>
          <w:b w:val="1"/>
          <w:bCs w:val="1"/>
          <w:rtl w:val="0"/>
        </w:rPr>
        <w:t xml:space="preserve">4.4 Usability for Non-Technical Reviewers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dashboard should be understood without any technical background.</w:t>
      </w:r>
    </w:p>
    <w:p w:rsidR="00000000" w:rsidDel="00000000" w:rsidP="00000000" w:rsidRDefault="00000000" w:rsidRPr="00000000" w14:paraId="0000008C">
      <w:pPr>
        <w:rPr/>
      </w:pPr>
      <w:r w:rsidDel="00000000" w:rsidR="00000000" w:rsidRPr="00000000">
        <w:rPr>
          <w:b w:val="1"/>
          <w:bCs w:val="1"/>
          <w:rtl w:val="0"/>
        </w:rPr>
        <w:t xml:space="preserve">Judges check:</w:t>
      </w:r>
      <w:r w:rsidDel="00000000" w:rsidR="00000000" w:rsidRPr="00000000">
        <w:rPr>
          <w:rtl w:val="0"/>
        </w:rPr>
      </w:r>
    </w:p>
    <w:p w:rsidR="00000000" w:rsidDel="00000000" w:rsidP="00000000" w:rsidRDefault="00000000" w:rsidRPr="00000000" w14:paraId="0000008D">
      <w:pPr>
        <w:numPr>
          <w:ilvl w:val="0"/>
          <w:numId w:val="2"/>
        </w:numPr>
        <w:ind w:left="720" w:hanging="360"/>
        <w:rPr/>
      </w:pPr>
      <w:r w:rsidDel="00000000" w:rsidR="00000000" w:rsidRPr="00000000">
        <w:rPr>
          <w:rtl w:val="0"/>
        </w:rPr>
        <w:t xml:space="preserve">Clear and self-explanatory labels and legends</w:t>
      </w:r>
    </w:p>
    <w:p w:rsidR="00000000" w:rsidDel="00000000" w:rsidP="00000000" w:rsidRDefault="00000000" w:rsidRPr="00000000" w14:paraId="0000008E">
      <w:pPr>
        <w:numPr>
          <w:ilvl w:val="0"/>
          <w:numId w:val="2"/>
        </w:numPr>
        <w:ind w:left="720" w:hanging="360"/>
        <w:rPr/>
      </w:pPr>
      <w:r w:rsidDel="00000000" w:rsidR="00000000" w:rsidRPr="00000000">
        <w:rPr>
          <w:rtl w:val="0"/>
        </w:rPr>
        <w:t xml:space="preserve">Minimal cognitive load on each page</w:t>
      </w:r>
    </w:p>
    <w:p w:rsidR="00000000" w:rsidDel="00000000" w:rsidP="00000000" w:rsidRDefault="00000000" w:rsidRPr="00000000" w14:paraId="0000008F">
      <w:pPr>
        <w:numPr>
          <w:ilvl w:val="0"/>
          <w:numId w:val="2"/>
        </w:numPr>
        <w:ind w:left="720" w:hanging="360"/>
        <w:rPr/>
      </w:pPr>
      <w:r w:rsidDel="00000000" w:rsidR="00000000" w:rsidRPr="00000000">
        <w:rPr>
          <w:rtl w:val="0"/>
        </w:rPr>
        <w:t xml:space="preserve">Intuitive navigation and clearly labelled pages</w:t>
      </w:r>
    </w:p>
    <w:p w:rsidR="00000000" w:rsidDel="00000000" w:rsidP="00000000" w:rsidRDefault="00000000" w:rsidRPr="00000000" w14:paraId="00000090">
      <w:pPr>
        <w:rPr/>
      </w:pPr>
      <w:r w:rsidDel="00000000" w:rsidR="00000000" w:rsidRPr="00000000">
        <w:rPr>
          <w:b w:val="1"/>
          <w:bCs w:val="1"/>
          <w:sz w:val="28"/>
          <w:szCs w:val="28"/>
          <w:rtl w:val="0"/>
        </w:rPr>
        <w:t xml:space="preserve">5. Add-on Analysis &amp; Advanced Insights </w:t>
      </w:r>
      <w:r w:rsidDel="00000000" w:rsidR="00000000" w:rsidRPr="00000000">
        <w:rPr>
          <w:b w:val="1"/>
          <w:bCs w:val="1"/>
          <w:rtl w:val="0"/>
        </w:rPr>
        <w:t xml:space="preserve">— 10% (Bonus)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Used to differentiate top performers.</w:t>
      </w:r>
    </w:p>
    <w:p w:rsidR="00000000" w:rsidDel="00000000" w:rsidP="00000000" w:rsidRDefault="00000000" w:rsidRPr="00000000" w14:paraId="00000092">
      <w:pPr>
        <w:rPr/>
      </w:pPr>
      <w:r w:rsidDel="00000000" w:rsidR="00000000" w:rsidRPr="00000000">
        <w:rPr>
          <w:b w:val="1"/>
          <w:bCs w:val="1"/>
          <w:rtl w:val="0"/>
        </w:rPr>
        <w:t xml:space="preserve">5.1 Insight Quality</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High scores for:</w:t>
      </w:r>
      <w:r w:rsidDel="00000000" w:rsidR="00000000" w:rsidRPr="00000000">
        <w:rPr>
          <w:rtl w:val="0"/>
        </w:rPr>
      </w:r>
    </w:p>
    <w:p w:rsidR="00000000" w:rsidDel="00000000" w:rsidP="00000000" w:rsidRDefault="00000000" w:rsidRPr="00000000" w14:paraId="00000094">
      <w:pPr>
        <w:numPr>
          <w:ilvl w:val="0"/>
          <w:numId w:val="2"/>
        </w:numPr>
        <w:ind w:left="720" w:hanging="360"/>
        <w:rPr/>
      </w:pPr>
      <w:r w:rsidDel="00000000" w:rsidR="00000000" w:rsidRPr="00000000">
        <w:rPr>
          <w:rtl w:val="0"/>
        </w:rPr>
        <w:t xml:space="preserve">Actionable insights that go beyond surface-level observations</w:t>
      </w:r>
    </w:p>
    <w:p w:rsidR="00000000" w:rsidDel="00000000" w:rsidP="00000000" w:rsidRDefault="00000000" w:rsidRPr="00000000" w14:paraId="00000095">
      <w:pPr>
        <w:numPr>
          <w:ilvl w:val="0"/>
          <w:numId w:val="2"/>
        </w:numPr>
        <w:ind w:left="720" w:hanging="360"/>
        <w:rPr/>
      </w:pPr>
      <w:r w:rsidDel="00000000" w:rsidR="00000000" w:rsidRPr="00000000">
        <w:rPr>
          <w:rtl w:val="0"/>
        </w:rPr>
        <w:t xml:space="preserve">Data-backed findings and recommendations</w:t>
      </w:r>
    </w:p>
    <w:p w:rsidR="00000000" w:rsidDel="00000000" w:rsidP="00000000" w:rsidRDefault="00000000" w:rsidRPr="00000000" w14:paraId="00000096">
      <w:pPr>
        <w:numPr>
          <w:ilvl w:val="0"/>
          <w:numId w:val="2"/>
        </w:numPr>
        <w:ind w:left="720" w:hanging="360"/>
        <w:rPr/>
      </w:pPr>
      <w:r w:rsidDel="00000000" w:rsidR="00000000" w:rsidRPr="00000000">
        <w:rPr>
          <w:rtl w:val="0"/>
        </w:rPr>
        <w:t xml:space="preserve">Patterns and anomalies identified across multiple dimensions</w:t>
      </w:r>
    </w:p>
    <w:p w:rsidR="00000000" w:rsidDel="00000000" w:rsidP="00000000" w:rsidRDefault="00000000" w:rsidRPr="00000000" w14:paraId="00000097">
      <w:pPr>
        <w:numPr>
          <w:ilvl w:val="0"/>
          <w:numId w:val="2"/>
        </w:numPr>
        <w:ind w:left="720" w:hanging="360"/>
        <w:rPr/>
      </w:pPr>
      <w:r w:rsidDel="00000000" w:rsidR="00000000" w:rsidRPr="00000000">
        <w:rPr>
          <w:rtl w:val="0"/>
        </w:rPr>
        <w:t xml:space="preserve">Cohort or segment-level analysis that reveals meaningful groupings</w:t>
      </w:r>
    </w:p>
    <w:p w:rsidR="00000000" w:rsidDel="00000000" w:rsidP="00000000" w:rsidRDefault="00000000" w:rsidRPr="00000000" w14:paraId="00000098">
      <w:pPr>
        <w:rPr/>
      </w:pPr>
      <w:r w:rsidDel="00000000" w:rsidR="00000000" w:rsidRPr="00000000">
        <w:rPr>
          <w:b w:val="1"/>
          <w:bCs w:val="1"/>
          <w:rtl w:val="0"/>
        </w:rPr>
        <w:t xml:space="preserve">5.2 Advanced Analytics</w:t>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Bonus for:</w:t>
      </w:r>
      <w:r w:rsidDel="00000000" w:rsidR="00000000" w:rsidRPr="00000000">
        <w:rPr>
          <w:rtl w:val="0"/>
        </w:rPr>
      </w:r>
    </w:p>
    <w:p w:rsidR="00000000" w:rsidDel="00000000" w:rsidP="00000000" w:rsidRDefault="00000000" w:rsidRPr="00000000" w14:paraId="0000009A">
      <w:pPr>
        <w:numPr>
          <w:ilvl w:val="0"/>
          <w:numId w:val="2"/>
        </w:numPr>
        <w:ind w:left="720" w:hanging="360"/>
        <w:rPr/>
      </w:pPr>
      <w:r w:rsidDel="00000000" w:rsidR="00000000" w:rsidRPr="00000000">
        <w:rPr>
          <w:rtl w:val="0"/>
        </w:rPr>
        <w:t xml:space="preserve">Outlier or anomaly detection logic</w:t>
      </w:r>
    </w:p>
    <w:p w:rsidR="00000000" w:rsidDel="00000000" w:rsidP="00000000" w:rsidRDefault="00000000" w:rsidRPr="00000000" w14:paraId="0000009B">
      <w:pPr>
        <w:numPr>
          <w:ilvl w:val="0"/>
          <w:numId w:val="2"/>
        </w:numPr>
        <w:ind w:left="720" w:hanging="360"/>
        <w:rPr/>
      </w:pPr>
      <w:r w:rsidDel="00000000" w:rsidR="00000000" w:rsidRPr="00000000">
        <w:rPr>
          <w:rtl w:val="0"/>
        </w:rPr>
        <w:t xml:space="preserve">Forecasting or predictive trend indicators</w:t>
      </w:r>
    </w:p>
    <w:p w:rsidR="00000000" w:rsidDel="00000000" w:rsidP="00000000" w:rsidRDefault="00000000" w:rsidRPr="00000000" w14:paraId="0000009C">
      <w:pPr>
        <w:numPr>
          <w:ilvl w:val="0"/>
          <w:numId w:val="2"/>
        </w:numPr>
        <w:ind w:left="720" w:hanging="360"/>
        <w:rPr/>
      </w:pPr>
      <w:r w:rsidDel="00000000" w:rsidR="00000000" w:rsidRPr="00000000">
        <w:rPr>
          <w:rtl w:val="0"/>
        </w:rPr>
        <w:t xml:space="preserve">Smart or dynamic segmentation based on combined criteria</w:t>
      </w:r>
    </w:p>
    <w:p w:rsidR="00000000" w:rsidDel="00000000" w:rsidP="00000000" w:rsidRDefault="00000000" w:rsidRPr="00000000" w14:paraId="0000009D">
      <w:pPr>
        <w:rPr/>
      </w:pPr>
      <w:r w:rsidDel="00000000" w:rsidR="00000000" w:rsidRPr="00000000">
        <w:rPr>
          <w:b w:val="1"/>
          <w:bCs w:val="1"/>
          <w:rtl w:val="0"/>
        </w:rPr>
        <w:t xml:space="preserve">5.3 Interaction with Team</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Additional advantages will be extended to participants who demonstrate active involvement on LinkedIn by regularly posting their work, engaging with fellow participants’ content through likes, comments, and shares, and staying closely connected with our team. This level of participation encourages knowledge sharing, networking, and a collaborative learning environment.</w:t>
      </w:r>
    </w:p>
    <w:p w:rsidR="00000000" w:rsidDel="00000000" w:rsidP="00000000" w:rsidRDefault="00000000" w:rsidRPr="00000000" w14:paraId="0000009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Final Suggested Weightage</w:t>
      </w:r>
    </w:p>
    <w:tbl>
      <w:tblPr>
        <w:tblStyle w:val="Table1"/>
        <w:tblW w:w="3272.0" w:type="dxa"/>
        <w:jc w:val="left"/>
        <w:tblLayout w:type="fixed"/>
        <w:tblLook w:val="0400"/>
      </w:tblPr>
      <w:tblGrid>
        <w:gridCol w:w="2624"/>
        <w:gridCol w:w="648"/>
        <w:tblGridChange w:id="0">
          <w:tblGrid>
            <w:gridCol w:w="2624"/>
            <w:gridCol w:w="648"/>
          </w:tblGrid>
        </w:tblGridChange>
      </w:tblGrid>
      <w:tr>
        <w:trPr>
          <w:cantSplit w:val="0"/>
          <w:tblHeader w:val="1"/>
        </w:trPr>
        <w:tc>
          <w:tcPr>
            <w:vAlign w:val="center"/>
          </w:tcPr>
          <w:p w:rsidR="00000000" w:rsidDel="00000000" w:rsidP="00000000" w:rsidRDefault="00000000" w:rsidRPr="00000000" w14:paraId="000000A1">
            <w:pPr>
              <w:rPr/>
            </w:pPr>
            <w:r w:rsidDel="00000000" w:rsidR="00000000" w:rsidRPr="00000000">
              <w:rPr>
                <w:rtl w:val="0"/>
              </w:rPr>
              <w:t xml:space="preserve">Category</w:t>
            </w:r>
          </w:p>
        </w:tc>
        <w:tc>
          <w:tcPr>
            <w:vAlign w:val="center"/>
          </w:tcPr>
          <w:p w:rsidR="00000000" w:rsidDel="00000000" w:rsidP="00000000" w:rsidRDefault="00000000" w:rsidRPr="00000000" w14:paraId="000000A2">
            <w:pPr>
              <w:rPr/>
            </w:pPr>
            <w:r w:rsidDel="00000000" w:rsidR="00000000" w:rsidRPr="00000000">
              <w:rPr>
                <w:rtl w:val="0"/>
              </w:rPr>
              <w:t xml:space="preserve">Weight</w:t>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tl w:val="0"/>
              </w:rPr>
              <w:t xml:space="preserve">Core Business Requirements</w:t>
            </w:r>
          </w:p>
        </w:tc>
        <w:tc>
          <w:tcPr>
            <w:vAlign w:val="center"/>
          </w:tcPr>
          <w:p w:rsidR="00000000" w:rsidDel="00000000" w:rsidP="00000000" w:rsidRDefault="00000000" w:rsidRPr="00000000" w14:paraId="000000A4">
            <w:pPr>
              <w:rPr/>
            </w:pPr>
            <w:r w:rsidDel="00000000" w:rsidR="00000000" w:rsidRPr="00000000">
              <w:rPr>
                <w:rtl w:val="0"/>
              </w:rPr>
              <w:t xml:space="preserve">40%</w:t>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tl w:val="0"/>
              </w:rPr>
              <w:t xml:space="preserve">Data Modelling &amp; Performance</w:t>
            </w:r>
          </w:p>
        </w:tc>
        <w:tc>
          <w:tcPr>
            <w:vAlign w:val="center"/>
          </w:tcPr>
          <w:p w:rsidR="00000000" w:rsidDel="00000000" w:rsidP="00000000" w:rsidRDefault="00000000" w:rsidRPr="00000000" w14:paraId="000000A6">
            <w:pPr>
              <w:rPr/>
            </w:pPr>
            <w:r w:rsidDel="00000000" w:rsidR="00000000" w:rsidRPr="00000000">
              <w:rPr>
                <w:rtl w:val="0"/>
              </w:rPr>
              <w:t xml:space="preserve">20%</w:t>
            </w:r>
          </w:p>
        </w:tc>
      </w:tr>
      <w:tr>
        <w:trPr>
          <w:cantSplit w:val="0"/>
          <w:tblHeader w:val="0"/>
        </w:trPr>
        <w:tc>
          <w:tcPr>
            <w:vAlign w:val="center"/>
          </w:tcPr>
          <w:p w:rsidR="00000000" w:rsidDel="00000000" w:rsidP="00000000" w:rsidRDefault="00000000" w:rsidRPr="00000000" w14:paraId="000000A7">
            <w:pPr>
              <w:rPr/>
            </w:pPr>
            <w:r w:rsidDel="00000000" w:rsidR="00000000" w:rsidRPr="00000000">
              <w:rPr>
                <w:rtl w:val="0"/>
              </w:rPr>
              <w:t xml:space="preserve">Visual Accuracy &amp; Interactivity</w:t>
            </w:r>
          </w:p>
        </w:tc>
        <w:tc>
          <w:tcPr>
            <w:vAlign w:val="center"/>
          </w:tcPr>
          <w:p w:rsidR="00000000" w:rsidDel="00000000" w:rsidP="00000000" w:rsidRDefault="00000000" w:rsidRPr="00000000" w14:paraId="000000A8">
            <w:pPr>
              <w:rPr/>
            </w:pPr>
            <w:r w:rsidDel="00000000" w:rsidR="00000000" w:rsidRPr="00000000">
              <w:rPr>
                <w:rtl w:val="0"/>
              </w:rPr>
              <w:t xml:space="preserve">20%</w:t>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tl w:val="0"/>
              </w:rPr>
              <w:t xml:space="preserve">UX, Design &amp; Readability</w:t>
            </w:r>
          </w:p>
        </w:tc>
        <w:tc>
          <w:tcPr>
            <w:vAlign w:val="center"/>
          </w:tcPr>
          <w:p w:rsidR="00000000" w:rsidDel="00000000" w:rsidP="00000000" w:rsidRDefault="00000000" w:rsidRPr="00000000" w14:paraId="000000AA">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tl w:val="0"/>
              </w:rPr>
              <w:t xml:space="preserve">Add-on Insights &amp; Innovation</w:t>
            </w:r>
          </w:p>
        </w:tc>
        <w:tc>
          <w:tcPr>
            <w:vAlign w:val="center"/>
          </w:tcPr>
          <w:p w:rsidR="00000000" w:rsidDel="00000000" w:rsidP="00000000" w:rsidRDefault="00000000" w:rsidRPr="00000000" w14:paraId="000000AC">
            <w:pPr>
              <w:rPr/>
            </w:pPr>
            <w:r w:rsidDel="00000000" w:rsidR="00000000" w:rsidRPr="00000000">
              <w:rPr>
                <w:rtl w:val="0"/>
              </w:rPr>
              <w:t xml:space="preserve">10%</w:t>
            </w:r>
          </w:p>
        </w:tc>
      </w:tr>
    </w:tbl>
    <w:p w:rsidR="00000000" w:rsidDel="00000000" w:rsidP="00000000" w:rsidRDefault="00000000" w:rsidRPr="00000000" w14:paraId="000000AD">
      <w:pPr>
        <w:rPr/>
      </w:pPr>
      <w:r w:rsidDel="00000000" w:rsidR="00000000" w:rsidRPr="00000000">
        <w:rPr>
          <w:rtl w:val="0"/>
        </w:rPr>
      </w:r>
    </w:p>
    <w:sectPr>
      <w:pgSz w:h="16838" w:w="11906" w:orient="portrait"/>
      <w:pgMar w:bottom="1135"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spacing w:after="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81CD7"/>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181CD7"/>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81CD7"/>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81CD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181CD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181CD7"/>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181CD7"/>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181CD7"/>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181CD7"/>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181CD7"/>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181CD7"/>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181CD7"/>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181CD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81CD7"/>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181CD7"/>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81CD7"/>
    <w:rPr>
      <w:i w:val="1"/>
      <w:iCs w:val="1"/>
      <w:color w:val="404040" w:themeColor="text1" w:themeTint="0000BF"/>
    </w:rPr>
  </w:style>
  <w:style w:type="paragraph" w:styleId="ListParagraph">
    <w:name w:val="List Paragraph"/>
    <w:basedOn w:val="Normal"/>
    <w:uiPriority w:val="34"/>
    <w:qFormat w:val="1"/>
    <w:rsid w:val="00181CD7"/>
    <w:pPr>
      <w:ind w:left="720"/>
      <w:contextualSpacing w:val="1"/>
    </w:pPr>
  </w:style>
  <w:style w:type="character" w:styleId="IntenseEmphasis">
    <w:name w:val="Intense Emphasis"/>
    <w:basedOn w:val="DefaultParagraphFont"/>
    <w:uiPriority w:val="21"/>
    <w:qFormat w:val="1"/>
    <w:rsid w:val="00181CD7"/>
    <w:rPr>
      <w:i w:val="1"/>
      <w:iCs w:val="1"/>
      <w:color w:val="2f5496" w:themeColor="accent1" w:themeShade="0000BF"/>
    </w:rPr>
  </w:style>
  <w:style w:type="paragraph" w:styleId="IntenseQuote">
    <w:name w:val="Intense Quote"/>
    <w:basedOn w:val="Normal"/>
    <w:next w:val="Normal"/>
    <w:link w:val="IntenseQuoteChar"/>
    <w:uiPriority w:val="30"/>
    <w:qFormat w:val="1"/>
    <w:rsid w:val="00181CD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81CD7"/>
    <w:rPr>
      <w:i w:val="1"/>
      <w:iCs w:val="1"/>
      <w:color w:val="2f5496" w:themeColor="accent1" w:themeShade="0000BF"/>
    </w:rPr>
  </w:style>
  <w:style w:type="character" w:styleId="IntenseReference">
    <w:name w:val="Intense Reference"/>
    <w:basedOn w:val="DefaultParagraphFont"/>
    <w:uiPriority w:val="32"/>
    <w:qFormat w:val="1"/>
    <w:rsid w:val="00181CD7"/>
    <w:rPr>
      <w:b w:val="1"/>
      <w:bCs w:val="1"/>
      <w:smallCaps w:val="1"/>
      <w:color w:val="2f5496" w:themeColor="accent1" w:themeShade="0000BF"/>
      <w:spacing w:val="5"/>
    </w:rPr>
  </w:style>
  <w:style w:type="paragraph" w:styleId="NormalWeb">
    <w:name w:val="Normal (Web)"/>
    <w:basedOn w:val="Normal"/>
    <w:uiPriority w:val="99"/>
    <w:semiHidden w:val="1"/>
    <w:unhideWhenUsed w:val="1"/>
    <w:rsid w:val="00181CD7"/>
    <w:rPr>
      <w:rFonts w:cs="Times New Roman"/>
      <w:sz w:val="24"/>
      <w:szCs w:val="24"/>
    </w:rPr>
  </w:style>
  <w:style w:type="character" w:styleId="Strong">
    <w:name w:val="Strong"/>
    <w:basedOn w:val="DefaultParagraphFont"/>
    <w:uiPriority w:val="22"/>
    <w:qFormat w:val="1"/>
    <w:rsid w:val="00181CD7"/>
    <w:rPr>
      <w:b w:val="1"/>
      <w:bCs w:val="1"/>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kEAW9FlpqvZ2FzpTUE0QufwZbQ==">CgMxLjAaEgoBMBINCgsIB0IHEgVDYXJkbxoSCgExEg0KCwgHQgcSBUNhcmRvGhIKATISDQoLCAdCBxIFQ2FyZG8aEgoBMxINCgsIB0IHEgVDYXJkbzgAciExTmlWOTZUcEYwczA1R1BYWFFzcUVqTWVibmx3aFczYWg=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2026-03-29T05:52:00Z</dcterms:created>
  <dc:creator>nagaraju danthe</dc:creator>
</cp:coreProperties>
</file>