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</w:pPr>
      <w:r>
        <w:rPr>
          <w:rFonts w:ascii="Calibri" w:cs="Calibri" w:eastAsia="Calibri" w:hAnsi="Calibri"/>
          <w:b/>
          <w:bCs/>
          <w:color w:val="0D2137"/>
          <w:sz w:val="40"/>
          <w:szCs w:val="40"/>
        </w:rPr>
        <w:t xml:space="preserve">DELIVERY PACKAGE</w:t>
      </w:r>
    </w:p>
    <w:p>
      <w:pPr>
        <w:spacing w:after="120"/>
      </w:pPr>
      <w:r>
        <w:rPr>
          <w:rFonts w:ascii="Calibri" w:cs="Calibri" w:eastAsia="Calibri" w:hAnsi="Calibri"/>
          <w:color w:val="007B7F"/>
          <w:sz w:val="28"/>
          <w:szCs w:val="28"/>
        </w:rPr>
        <w:t xml:space="preserve">transaction monitoring completeness review of this feed</w:t>
      </w:r>
    </w:p>
    <w:p>
      <w:pPr>
        <w:spacing w:after="120"/>
      </w:pPr>
      <w:r>
        <w:rPr>
          <w:rFonts w:ascii="Calibri" w:cs="Calibri" w:eastAsia="Calibri" w:hAnsi="Calibri"/>
          <w:color w:val="5A6A7A"/>
          <w:sz w:val="22"/>
          <w:szCs w:val="22"/>
        </w:rPr>
        <w:t xml:space="preserve">Source: transactions_sample.csv  |  2,000 rows analysed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A7A"/>
          <w:sz w:val="20"/>
          <w:szCs w:val="20"/>
        </w:rPr>
        <w:t xml:space="preserve">Every figure below was computed deterministically and injected from the SHA-256 hashed Findings Store. No number was authored by AI.</w:t>
      </w:r>
    </w:p>
    <w:p>
      <w:pPr>
        <w:pStyle w:val="Heading1"/>
        <w:pBdr>
          <w:bottom w:val="single" w:color="007B7F" w:sz="6" w:space="4"/>
        </w:pBdr>
        <w:spacing w:after="120" w:before="280"/>
      </w:pPr>
      <w:r>
        <w:t xml:space="preserve">1. Data Quality Assessment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Rows</w:t>
            </w:r>
          </w:p>
        </w:tc>
        <w:tc>
          <w:tcPr>
            <w:tcW w:type="dxa" w:w="14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Nulls</w:t>
            </w:r>
          </w:p>
        </w:tc>
        <w:tc>
          <w:tcPr>
            <w:tcW w:type="dxa" w:w="14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 %</w:t>
            </w:r>
          </w:p>
        </w:tc>
        <w:tc>
          <w:tcPr>
            <w:tcW w:type="dxa" w:w="16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TIMESTAMP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card_id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amount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DOUBLE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use_chip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VARCHAR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merchant_id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merchant_city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VARCHAR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merchant_state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VARCHAR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250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12.5%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8621A"/>
                <w:sz w:val="20"/>
                <w:szCs w:val="20"/>
              </w:rPr>
              <w:t xml:space="preserve">Notable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zip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DOUBLE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261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13.1%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8621A"/>
                <w:sz w:val="20"/>
                <w:szCs w:val="20"/>
              </w:rPr>
              <w:t xml:space="preserve">Notable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mcc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errors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VARCHAR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1,967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98.4%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8621A"/>
                <w:sz w:val="20"/>
                <w:szCs w:val="20"/>
              </w:rPr>
              <w:t xml:space="preserve">Notable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Validation: 12 rules evaluated, 0 exceptions.</w:t>
      </w:r>
    </w:p>
    <w:p>
      <w:pPr>
        <w:pStyle w:val="Heading1"/>
        <w:pBdr>
          <w:bottom w:val="single" w:color="007B7F" w:sz="6" w:space="4"/>
        </w:pBdr>
        <w:spacing w:after="120" w:before="280"/>
      </w:pPr>
      <w:r>
        <w:t xml:space="preserve">2. Operational Findings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Column 'merchant_state' has 250 nulls (12.5%).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Column 'zip' has 261 nulls (13.1%).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Column 'errors' has 1,967 nulls (98.4%).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Data spans 01 Jan 2010 to 05 Feb 2012 (newest record is 5280 day(s) old).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'Swipe Transaction' accounts for 88% of all records in 'use_chip' — a concentration worth an ownership conversation.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'None' accounts for 98% of all records in 'errors' — a concentration worth an ownership conversation.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Notable findings to remediate in the normal cycle: missing; time_coverage; concentration.</w:t>
      </w:r>
    </w:p>
    <w:p>
      <w:pPr>
        <w:pStyle w:val="Heading1"/>
        <w:pBdr>
          <w:bottom w:val="single" w:color="007B7F" w:sz="6" w:space="4"/>
        </w:pBdr>
        <w:spacing w:after="120" w:before="280"/>
      </w:pPr>
      <w:r>
        <w:t xml:space="preserve">3. Evidence Trail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A7A"/>
          <w:sz w:val="24"/>
          <w:szCs w:val="24"/>
        </w:rPr>
        <w:t xml:space="preserve">Every finding is reproducible. Re-run the same engine on the same source: matching hashes prove the findings unchanged.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2026-07-21T16:47:11.743Z</dcterms:created>
  <dcterms:modified xsi:type="dcterms:W3CDTF">2026-07-21T16:47:11.743Z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