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18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 5 is the day-to-day guide for Users. Chapters 6 to 11 are administration. Chapter 12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r>
        <w:rPr>
          <w:b w:val="0"/>
          <w:i w:val="0"/>
        </w:rPr>
        <w:t>Where the administrator has enabled Windows single sign-on, none of that is needed: on a computer joined to the organisation's domain the page signs you in as it opens and you never see the form. When it cannot — you are on a machine outside the domain, or you have just signed out — the form appears as normal and you sign in by hand.</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branding,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14).</w:t>
      </w:r>
    </w:p>
    <w:p>
      <w:pPr>
        <w:pStyle w:val="ListBullet"/>
      </w:pPr>
      <w:r>
        <w:rPr>
          <w:b/>
        </w:rPr>
        <w:t xml:space="preserve">Website branding — </w:t>
      </w:r>
      <w:r>
        <w:t>set the logo, the site name and the browser tab icon (administrators only, see Chapter 13).</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14).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name and tab icon</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11).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Anyone a task viewer grant reaches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4270126"/>
            <wp:docPr id="11" name="Picture 11"/>
            <wp:cNvGraphicFramePr>
              <a:graphicFrameLocks noChangeAspect="1"/>
            </wp:cNvGraphicFramePr>
            <a:graphic>
              <a:graphicData uri="http://schemas.openxmlformats.org/drawingml/2006/picture">
                <pic:pic>
                  <pic:nvPicPr>
                    <pic:cNvPr id="0" name="60-my-queries.png"/>
                    <pic:cNvPicPr/>
                  </pic:nvPicPr>
                  <pic:blipFill>
                    <a:blip r:embed="rId20"/>
                    <a:stretch>
                      <a:fillRect/>
                    </a:stretch>
                  </pic:blipFill>
                  <pic:spPr>
                    <a:xfrm>
                      <a:off x="0" y="0"/>
                      <a:ext cx="6035040" cy="4270126"/>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2"/>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5167296" cy="694943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3"/>
                    <a:stretch>
                      <a:fillRect/>
                    </a:stretch>
                  </pic:blipFill>
                  <pic:spPr>
                    <a:xfrm>
                      <a:off x="0" y="0"/>
                      <a:ext cx="5167296" cy="6949439"/>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r>
        <w:rPr>
          <w:b w:val="0"/>
          <w:i w:val="0"/>
        </w:rPr>
        <w:t>The result of a background run is held by the server, not by your page, and it is not kept forever: it is released after a period of disuse, and it is lost if the server is restarted while the query is running or before you have finished reading the result. The page says so plainly when it happens — running the query again is the remedy.</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granted you viewer access to a scheduled task — by name, through one of your roles, or through a user group you belong to — a Schedules entry appears in your navigation. It shows each run's start time, status, which trigger started it, and the files it produced. You can download those files only if the grant that reaches you also allows downloads.</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9"/>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077480"/>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30"/>
                    <a:stretch>
                      <a:fillRect/>
                    </a:stretch>
                  </pic:blipFill>
                  <pic:spPr>
                    <a:xfrm>
                      <a:off x="0" y="0"/>
                      <a:ext cx="6035040" cy="5077480"/>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59977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1"/>
                    <a:stretch>
                      <a:fillRect/>
                    </a:stretch>
                  </pic:blipFill>
                  <pic:spPr>
                    <a:xfrm>
                      <a:off x="0" y="0"/>
                      <a:ext cx="5997790"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4"/>
                    <a:stretch>
                      <a:fillRect/>
                    </a:stretch>
                  </pic:blipFill>
                  <pic:spPr>
                    <a:xfrm>
                      <a:off x="0" y="0"/>
                      <a:ext cx="6035040" cy="3822192"/>
                    </a:xfrm>
                    <a:prstGeom prst="rect"/>
                  </pic:spPr>
                </pic:pic>
              </a:graphicData>
            </a:graphic>
          </wp:inline>
        </w:drawing>
      </w:r>
    </w:p>
    <w:p>
      <w:pPr>
        <w:spacing w:after="240"/>
        <w:jc w:val="center"/>
      </w:pPr>
      <w:r>
        <w:rPr>
          <w:i/>
          <w:color w:val="5B616E"/>
          <w:sz w:val="18"/>
        </w:rPr>
        <w:t>Figure 25.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8. Granting access</w:t>
      </w:r>
    </w:p>
    <w:p>
      <w:r>
        <w:rPr>
          <w:b w:val="0"/>
          <w:i/>
        </w:rPr>
        <w:t>For: Administrators, and Access Managers.</w:t>
      </w:r>
    </w:p>
    <w:p>
      <w:pPr>
        <w:pStyle w:val="Heading2"/>
      </w:pPr>
      <w:r>
        <w:t>8.1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Users tab, for granting the query to named individuals.</w:t>
      </w:r>
    </w:p>
    <w:p>
      <w:pPr>
        <w:pStyle w:val="Heading2"/>
      </w:pPr>
      <w:r>
        <w:t>8.2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Manage Group Access.</w:t>
      </w:r>
    </w:p>
    <w:p>
      <w:pPr>
        <w:pStyle w:val="Heading2"/>
      </w:pPr>
      <w:r>
        <w:t>8.3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9.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9.1 The task list</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40"/>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9.2 Creating a task</w:t>
      </w:r>
    </w:p>
    <w:p>
      <w:pPr>
        <w:spacing w:after="60"/>
        <w:jc w:val="center"/>
      </w:pPr>
      <w:r>
        <w:drawing>
          <wp:inline xmlns:a="http://schemas.openxmlformats.org/drawingml/2006/main" xmlns:pic="http://schemas.openxmlformats.org/drawingml/2006/picture">
            <wp:extent cx="6035040" cy="5404714"/>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1"/>
                    <a:stretch>
                      <a:fillRect/>
                    </a:stretch>
                  </pic:blipFill>
                  <pic:spPr>
                    <a:xfrm>
                      <a:off x="0" y="0"/>
                      <a:ext cx="6035040" cy="5404714"/>
                    </a:xfrm>
                    <a:prstGeom prst="rect"/>
                  </pic:spPr>
                </pic:pic>
              </a:graphicData>
            </a:graphic>
          </wp:inline>
        </w:drawing>
      </w:r>
    </w:p>
    <w:p>
      <w:pPr>
        <w:spacing w:after="240"/>
        <w:jc w:val="center"/>
      </w:pPr>
      <w:r>
        <w:rPr>
          <w:i/>
          <w:color w:val="5B616E"/>
          <w:sz w:val="18"/>
        </w:rPr>
        <w:t>Figure 32.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6035040" cy="5404714"/>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2"/>
                    <a:stretch>
                      <a:fillRect/>
                    </a:stretch>
                  </pic:blipFill>
                  <pic:spPr>
                    <a:xfrm>
                      <a:off x="0" y="0"/>
                      <a:ext cx="6035040" cy="5404714"/>
                    </a:xfrm>
                    <a:prstGeom prst="rect"/>
                  </pic:spPr>
                </pic:pic>
              </a:graphicData>
            </a:graphic>
          </wp:inline>
        </w:drawing>
      </w:r>
    </w:p>
    <w:p>
      <w:pPr>
        <w:spacing w:after="240"/>
        <w:jc w:val="center"/>
      </w:pPr>
      <w:r>
        <w:rPr>
          <w:i/>
          <w:color w:val="5B616E"/>
          <w:sz w:val="18"/>
        </w:rPr>
        <w:t>Figure 33. An existing task, showing its triggers, its queries and their parameter values.</w:t>
      </w:r>
    </w:p>
    <w:p>
      <w:pPr>
        <w:pStyle w:val="Heading2"/>
      </w:pPr>
      <w:r>
        <w:t>9.3 Who can see the task</w:t>
      </w:r>
    </w:p>
    <w:p>
      <w:r>
        <w:rPr>
          <w:b w:val="0"/>
          <w:i w:val="0"/>
        </w:rPr>
        <w:t>Access to a task is managed on its own page, reached with the shield button on the task list — not on the task form. Editing a schedule therefore never disturbs who can see it. The page grants two things, and grants them the same three ways query access is granted: to a role, to a user group, or to a named user.</w:t>
      </w:r>
    </w:p>
    <w:p>
      <w:pPr>
        <w:pStyle w:val="ListBullet"/>
      </w:pPr>
      <w:r>
        <w:rPr>
          <w:b/>
        </w:rPr>
        <w:t xml:space="preserve">Viewing — </w:t>
      </w:r>
      <w:r>
        <w:t>the task appears on that person's Schedules page, with its runs, their statuses and the names of the files each run wrote.</w:t>
      </w:r>
    </w:p>
    <w:p>
      <w:pPr>
        <w:pStyle w:val="ListBullet"/>
      </w:pPr>
      <w:r>
        <w:rPr>
          <w:b/>
        </w:rPr>
        <w:t xml:space="preserve">Downloading — </w:t>
      </w:r>
      <w:r>
        <w:t>the narrower right, chosen from the viewers on the same tab. Without it a viewer sees that a file was produced but cannot fetch it.</w:t>
      </w:r>
    </w:p>
    <w:p>
      <w:pPr>
        <w:spacing w:after="60"/>
        <w:jc w:val="center"/>
      </w:pPr>
      <w: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34-scheduled-task-access-roles.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34. Manage Task Access, Roles tab. Everyone holding a listed role sees the task; the second list picks which of those roles may also download the files.</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35-scheduled-task-access-user-groups.png"/>
                    <pic:cNvPicPr/>
                  </pic:nvPicPr>
                  <pic:blipFill>
                    <a:blip r:embed="rId44"/>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The User Groups tab. Membership is read at the moment of the check, so adding someone to the group gives them the task at once, and removing them takes it away at once.</w:t>
      </w:r>
    </w:p>
    <w:p>
      <w:pPr>
        <w:spacing w:after="60"/>
        <w:jc w:val="center"/>
      </w:pPr>
      <w: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36-scheduled-task-access-user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36. The Users tab, for granting one person the task without giving it to their whole role or group.</w:t>
      </w:r>
    </w:p>
    <w:p>
      <w:r>
        <w:rPr>
          <w:b w:val="0"/>
          <w:i w:val="0"/>
        </w:rPr>
        <w:t>Each tab is saved on its own and replaces only its own list, so two administrators working on different tabs cannot overwrite each other. Grants add up rather than override: someone reached by two of them keeps the more generous one, so revoking a download means clearing it everywhere it was given. Administrators and Auditors see every task regardless; downloading, however, always needs either the blanket download permission or one of these grants — which is why an Auditor sees the run history but not the files.</w:t>
      </w:r>
    </w:p>
    <w:p>
      <w:pPr>
        <w:pStyle w:val="Heading2"/>
      </w:pPr>
      <w:r>
        <w:t>9.4 Run history</w:t>
      </w:r>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33-scheduled-task-runs.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10. Users, user groups and Active Directory</w:t>
      </w:r>
    </w:p>
    <w:p>
      <w:r>
        <w:rPr>
          <w:b w:val="0"/>
          <w:i/>
        </w:rPr>
        <w:t>For: Administrators. Access Managers can use the Users page with restrictions.</w:t>
      </w:r>
    </w:p>
    <w:p>
      <w:pPr>
        <w:pStyle w:val="Heading2"/>
      </w:pPr>
      <w:r>
        <w:t>10.1 User management</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1-user-management.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39" name="Picture 39"/>
            <wp:cNvGraphicFramePr>
              <a:graphicFrameLocks noChangeAspect="1"/>
            </wp:cNvGraphicFramePr>
            <a:graphic>
              <a:graphicData uri="http://schemas.openxmlformats.org/drawingml/2006/picture">
                <pic:pic>
                  <pic:nvPicPr>
                    <pic:cNvPr id="0" name="52-user-create-form.png"/>
                    <pic:cNvPicPr/>
                  </pic:nvPicPr>
                  <pic:blipFill>
                    <a:blip r:embed="rId48"/>
                    <a:stretch>
                      <a:fillRect/>
                    </a:stretch>
                  </pic:blipFill>
                  <pic:spPr>
                    <a:xfrm>
                      <a:off x="0" y="0"/>
                      <a:ext cx="6035040" cy="5461041"/>
                    </a:xfrm>
                    <a:prstGeom prst="rect"/>
                  </pic:spPr>
                </pic:pic>
              </a:graphicData>
            </a:graphic>
          </wp:inline>
        </w:drawing>
      </w:r>
    </w:p>
    <w:p>
      <w:pPr>
        <w:spacing w:after="240"/>
        <w:jc w:val="center"/>
      </w:pPr>
      <w:r>
        <w:rPr>
          <w:i/>
          <w:color w:val="5B616E"/>
          <w:sz w:val="18"/>
        </w:rPr>
        <w:t>Figure 39.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10.2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2a-user-groups.png"/>
                    <pic:cNvPicPr/>
                  </pic:nvPicPr>
                  <pic:blipFill>
                    <a:blip r:embed="rId49"/>
                    <a:stretch>
                      <a:fillRect/>
                    </a:stretch>
                  </pic:blipFill>
                  <pic:spPr>
                    <a:xfrm>
                      <a:off x="0" y="0"/>
                      <a:ext cx="6035040" cy="3822192"/>
                    </a:xfrm>
                    <a:prstGeom prst="rect"/>
                  </pic:spPr>
                </pic:pic>
              </a:graphicData>
            </a:graphic>
          </wp:inline>
        </w:drawing>
      </w:r>
    </w:p>
    <w:p>
      <w:pPr>
        <w:spacing w:after="240"/>
        <w:jc w:val="center"/>
      </w:pPr>
      <w:r>
        <w:rPr>
          <w:i/>
          <w:color w:val="5B616E"/>
          <w:sz w:val="18"/>
        </w:rPr>
        <w:t>Figure 40.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2b-user-group-create.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10.3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5-ad-users-search.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6-ad-users-department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57-ad-users-imported.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11.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53-database-users.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The database connections list.</w:t>
      </w:r>
    </w:p>
    <w:p>
      <w:pPr>
        <w:spacing w:after="60"/>
        <w:jc w:val="center"/>
      </w:pPr>
      <w: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54-database-user-form.png"/>
                    <pic:cNvPicPr/>
                  </pic:nvPicPr>
                  <pic:blipFill>
                    <a:blip r:embed="rId55"/>
                    <a:stretch>
                      <a:fillRect/>
                    </a:stretch>
                  </pic:blipFill>
                  <pic:spPr>
                    <a:xfrm>
                      <a:off x="0" y="0"/>
                      <a:ext cx="6035040" cy="3822192"/>
                    </a:xfrm>
                    <a:prstGeom prst="rect"/>
                  </pic:spPr>
                </pic:pic>
              </a:graphicData>
            </a:graphic>
          </wp:inline>
        </w:drawing>
      </w:r>
    </w:p>
    <w:p>
      <w:pPr>
        <w:spacing w:after="240"/>
        <w:jc w:val="center"/>
      </w:pPr>
      <w:r>
        <w:rPr>
          <w:i/>
          <w:color w:val="5B616E"/>
          <w:sz w:val="18"/>
        </w:rPr>
        <w:t>Figure 46.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12.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12.1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40-execution-logs.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12.2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41-system-audit.png"/>
                    <pic:cNvPicPr/>
                  </pic:nvPicPr>
                  <pic:blipFill>
                    <a:blip r:embed="rId57"/>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92-auditor-system-audit.png"/>
                    <pic:cNvPicPr/>
                  </pic:nvPicPr>
                  <pic:blipFill>
                    <a:blip r:embed="rId5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49. The same page seen by an Auditor. The content is identical; the navigation around it is not.</w:t>
      </w:r>
    </w:p>
    <w:p>
      <w:r>
        <w:br w:type="page"/>
      </w:r>
    </w:p>
    <w:p>
      <w:pPr>
        <w:pStyle w:val="Heading1"/>
      </w:pPr>
      <w:r>
        <w:t>13. Website branding</w:t>
      </w:r>
    </w:p>
    <w:p>
      <w:r>
        <w:rPr>
          <w:b w:val="0"/>
          <w:i/>
        </w:rPr>
        <w:t>For: Administrators only.</w:t>
      </w:r>
    </w:p>
    <w:p>
      <w:r>
        <w:rPr>
          <w:b w:val="0"/>
          <w:i w:val="0"/>
        </w:rPr>
        <w:t>What the top bar shows can be changed: an uploaded logo, or the site's name written in each language. The same dialog also sets the icon browsers show on the tab.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58-branding-dialog.png"/>
                    <pic:cNvPicPr/>
                  </pic:nvPicPr>
                  <pic:blipFill>
                    <a:blip r:embed="rId59"/>
                    <a:stretch>
                      <a:fillRect/>
                    </a:stretch>
                  </pic:blipFill>
                  <pic:spPr>
                    <a:xfrm>
                      <a:off x="0" y="0"/>
                      <a:ext cx="6035040" cy="3822192"/>
                    </a:xfrm>
                    <a:prstGeom prst="rect"/>
                  </pic:spPr>
                </pic:pic>
              </a:graphicData>
            </a:graphic>
          </wp:inline>
        </w:drawing>
      </w:r>
    </w:p>
    <w:p>
      <w:pPr>
        <w:spacing w:after="240"/>
        <w:jc w:val="center"/>
      </w:pPr>
      <w:r>
        <w:rPr>
          <w:i/>
          <w:color w:val="5B616E"/>
          <w:sz w:val="18"/>
        </w:rPr>
        <w:t>Figure 50. The branding dialog: the logo above, the browser tab icon below it. Scrolling down reveals the site name.</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browser tab icon</w:t>
      </w:r>
    </w:p>
    <w:p>
      <w:r>
        <w:rPr>
          <w:b w:val="0"/>
          <w:i w:val="0"/>
        </w:rPr>
        <w:t>This is the small icon a browser shows on the tab, in the bookmarks bar and in history. It is uploaded separately from the logo rather than scaled down from it: a banner logo is wide and readable at 40 pixels tall, while a tab icon is a 16 pixel square, and shrinking the one into the other produces a smudge.</w:t>
      </w:r>
    </w:p>
    <w:p>
      <w:pPr>
        <w:pStyle w:val="ListBullet"/>
      </w:pPr>
      <w:r>
        <w:rPr>
          <w:b/>
        </w:rPr>
        <w:t xml:space="preserve">Formats — </w:t>
      </w:r>
      <w:r>
        <w:t>PNG, ICO or WebP, up to 256 KB. JPG is not accepted, because a tab icon needs the transparent background JPG cannot carry.</w:t>
      </w:r>
    </w:p>
    <w:p>
      <w:pPr>
        <w:pStyle w:val="ListBullet"/>
      </w:pPr>
      <w:r>
        <w:rPr>
          <w:b/>
        </w:rPr>
        <w:t xml:space="preserve">Size — </w:t>
      </w:r>
      <w:r>
        <w:t>a square 32×32 pixel image suits the tab and the bookmarks bar. The dialog previews it twice: enlarged, and at the true size the browser will use.</w:t>
      </w:r>
    </w:p>
    <w:p>
      <w:pPr>
        <w:pStyle w:val="ListBullet"/>
      </w:pPr>
      <w:r>
        <w:rPr>
          <w:b/>
        </w:rPr>
        <w:t xml:space="preserve">It appears before signing in — </w:t>
      </w:r>
      <w:r>
        <w:t>the sign-in page's tab carries it too, so the icon is part of what someone sees before they have an account in hand.</w:t>
      </w:r>
    </w:p>
    <w:p>
      <w:pPr>
        <w:pStyle w:val="ListBullet"/>
      </w:pPr>
      <w:r>
        <w:rPr>
          <w:b/>
        </w:rPr>
        <w:t xml:space="preserve">Remove — </w:t>
      </w:r>
      <w:r>
        <w:t>with none stored the browser shows its own default icon; there is no fallback of ours.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Browsers cache tab icons aggressively. After replacing one, a tab that was already open may keep the old icon until it is reloaded — open the site in a new tab to check the change rather than trusting the tab you were already on.</w:t>
            </w:r>
          </w:p>
        </w:tc>
      </w:tr>
    </w:tbl>
    <w:p/>
    <w:p>
      <w:pPr>
        <w:pStyle w:val="Heading2"/>
      </w:pPr>
      <w:r>
        <w:t>The site name</w:t>
      </w:r>
    </w:p>
    <w:p>
      <w:pPr>
        <w:spacing w:after="60"/>
        <w:jc w:val="center"/>
      </w:pPr>
      <w: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58b-branding-dialog-name.png"/>
                    <pic:cNvPicPr/>
                  </pic:nvPicPr>
                  <pic:blipFill>
                    <a:blip r:embed="rId60"/>
                    <a:stretch>
                      <a:fillRect/>
                    </a:stretch>
                  </pic:blipFill>
                  <pic:spPr>
                    <a:xfrm>
                      <a:off x="0" y="0"/>
                      <a:ext cx="6035040" cy="3822192"/>
                    </a:xfrm>
                    <a:prstGeom prst="rect"/>
                  </pic:spPr>
                </pic:pic>
              </a:graphicData>
            </a:graphic>
          </wp:inline>
        </w:drawing>
      </w:r>
    </w:p>
    <w:p>
      <w:pPr>
        <w:spacing w:after="240"/>
        <w:jc w:val="center"/>
      </w:pPr>
      <w:r>
        <w:rPr>
          <w:i/>
          <w:color w:val="5B616E"/>
          <w:sz w:val="18"/>
        </w:rPr>
        <w:t>Figure 51. The lower half of the same dialog: one name field per language, each counting the characters left.</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the tab icon under “Changed the browser tab icon”, and the name under “Changed the site name”.</w:t>
            </w:r>
          </w:p>
        </w:tc>
      </w:tr>
    </w:tbl>
    <w:p/>
    <w:p>
      <w:pPr>
        <w:pStyle w:val="Heading1"/>
      </w:pPr>
      <w:r>
        <w:t>14.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14.1 System</w:t>
      </w:r>
    </w:p>
    <w:p>
      <w:pPr>
        <w:spacing w:after="60"/>
        <w:jc w:val="center"/>
      </w:pPr>
      <w: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50-system-settings.png"/>
                    <pic:cNvPicPr/>
                  </pic:nvPicPr>
                  <pic:blipFill>
                    <a:blip r:embed="rId61"/>
                    <a:stretch>
                      <a:fillRect/>
                    </a:stretch>
                  </pic:blipFill>
                  <pic:spPr>
                    <a:xfrm>
                      <a:off x="0" y="0"/>
                      <a:ext cx="6035040" cy="3822192"/>
                    </a:xfrm>
                    <a:prstGeom prst="rect"/>
                  </pic:spPr>
                </pic:pic>
              </a:graphicData>
            </a:graphic>
          </wp:inline>
        </w:drawing>
      </w:r>
    </w:p>
    <w:p>
      <w:pPr>
        <w:spacing w:after="240"/>
        <w:jc w:val="center"/>
      </w:pPr>
      <w:r>
        <w:rPr>
          <w:i/>
          <w:color w:val="5B616E"/>
          <w:sz w:val="18"/>
        </w:rPr>
        <w:t>Figure 52.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14.2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4196521" cy="6949439"/>
            <wp:docPr id="53" name="Picture 53"/>
            <wp:cNvGraphicFramePr>
              <a:graphicFrameLocks noChangeAspect="1"/>
            </wp:cNvGraphicFramePr>
            <a:graphic>
              <a:graphicData uri="http://schemas.openxmlformats.org/drawingml/2006/picture">
                <pic:pic>
                  <pic:nvPicPr>
                    <pic:cNvPr id="0" name="51-permissions.png"/>
                    <pic:cNvPicPr/>
                  </pic:nvPicPr>
                  <pic:blipFill>
                    <a:blip r:embed="rId62"/>
                    <a:stretch>
                      <a:fillRect/>
                    </a:stretch>
                  </pic:blipFill>
                  <pic:spPr>
                    <a:xfrm>
                      <a:off x="0" y="0"/>
                      <a:ext cx="4196521" cy="6949439"/>
                    </a:xfrm>
                    <a:prstGeom prst="rect"/>
                  </pic:spPr>
                </pic:pic>
              </a:graphicData>
            </a:graphic>
          </wp:inline>
        </w:drawing>
      </w:r>
    </w:p>
    <w:p>
      <w:pPr>
        <w:spacing w:after="240"/>
        <w:jc w:val="center"/>
      </w:pPr>
      <w:r>
        <w:rPr>
          <w:i/>
          <w:color w:val="5B616E"/>
          <w:sz w:val="18"/>
        </w:rPr>
        <w:t>Figure 53.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15.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16.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