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2026-08-23</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والفصلان ٥ و٧ هما الدليل اليومي للمستخدمين — تنفيذ الاستعلامات وتشغيل التقارير. والفصل ٦ والفصول من ٨ إلى ١٢ تخصّ الإدارة. ويتناول الفصل ١٣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معايير بحثه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ومعايير بحث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معيار بحث</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معيار بحث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bidi w:val="1"/>
      </w:pPr>
      <w:r>
        <w:rPr>
          <w:rFonts w:cs="Segoe UI" w:ascii="Segoe UI" w:hAnsi="Segoe UI"/>
          <w:b w:val="0"/>
          <w:i w:val="0"/>
          <w:rtl w:val="1"/>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 ذلك — كأن تكون على جهاز خارج النطاق أو تكون قد سجّلت الخروج للتوّ — ظهر النموذج كالمعتاد وسجّلت الدخول يدويًا.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«الاستعلامات»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«الاستعلامات»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الاستعلامات</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١٥).</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١٤).</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١٥).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١٢).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الاستعلامات</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كل من يبلغه منح مشاهدة لمهمة</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الاستعلامات</w:t>
      </w:r>
    </w:p>
    <w:p>
      <w:pPr>
        <w:bidi w:val="1"/>
      </w:pPr>
      <w:r>
        <w:rPr>
          <w:rFonts w:cs="Segoe UI" w:ascii="Segoe UI" w:hAnsi="Segoe UI"/>
          <w:b w:val="0"/>
          <w:i w:val="0"/>
          <w:rtl w:val="1"/>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«الاستعلامات».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تُدرج التقارير هنا أيضًا، ضمن المجموعات نفسها، وتحمل كل منها شارة مكتوبًا عليها «تقرير» مع عدد مجموعات بياناته. والتقرير ينفّذ عدة استعلامات دفعة واحدة ويعرضها في مستند واحد؛ وكل ما في هذا الفصل ينطبق على تشغيله، ويتناول الفصل ٧ ما يختلف فيه.</w:t>
            </w:r>
          </w:p>
        </w:tc>
      </w:tr>
    </w:tbl>
    <w:p>
      <w:pPr>
        <w:bidi w:val="1"/>
      </w:pPr>
    </w:p>
    <w:p>
      <w:pPr>
        <w:pStyle w:val="Heading2"/>
        <w:bidi w:val="1"/>
      </w:pPr>
      <w:r>
        <w:rPr>
          <w:rFonts w:cs="Segoe UI" w:ascii="Segoe UI" w:hAnsi="Segoe UI"/>
          <w:rtl w:val="1"/>
        </w:rPr>
        <w:t>٥.٢ تعبئة معايير البحث</w:t>
      </w:r>
    </w:p>
    <w:p>
      <w:pPr>
        <w:bidi w:val="1"/>
      </w:pPr>
      <w:r>
        <w:rPr>
          <w:rFonts w:cs="Segoe UI" w:ascii="Segoe UI" w:hAnsi="Segoe UI"/>
          <w:b w:val="0"/>
          <w:i w:val="0"/>
          <w:rtl w:val="1"/>
        </w:rPr>
        <w:t>يعرض فتح الاستعلام نموذجًا مبنيًّا من معايير البحث التي عرّفها المسؤول. ويجري التحقق من معايير البحث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معيار البحث</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معيار البحث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معايير البحث متعددة القيم</w:t>
      </w:r>
    </w:p>
    <w:p>
      <w:pPr>
        <w:bidi w:val="1"/>
      </w:pPr>
      <w:r>
        <w:rPr>
          <w:rFonts w:cs="Segoe UI" w:ascii="Segoe UI" w:hAnsi="Segoe UI"/>
          <w:b w:val="0"/>
          <w:i w:val="0"/>
          <w:rtl w:val="1"/>
        </w:rPr>
        <w:t>يمكن وسم معيار بحث نصي أو قائمة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معيار بحث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104877"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5104877" cy="6949439"/>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bidi w:val="1"/>
      </w:pPr>
      <w:r>
        <w:rPr>
          <w:rFonts w:cs="Segoe UI" w:ascii="Segoe UI" w:hAnsi="Segoe UI"/>
          <w:b w:val="0"/>
          <w:i w:val="0"/>
          <w:rtl w:val="1"/>
        </w:rPr>
        <w:t>ونتيجة التنفيذ في 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معايير بحثه.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معايير بحث،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منحك المسؤول وصول مشاهدة إلى مهمة مجدولة — باسمك، أو عبر أحد أدوارك، أو عبر مجموعة مستخدمين تنتمي إليها — ظهر عنصر «المهام المجدولة» 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معايير البحث.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ومعايير بحثه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428854"/>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428854"/>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«الاستعلامات».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معايير البحث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«الاستعلامات».</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معايير البحث</w:t>
      </w:r>
    </w:p>
    <w:p>
      <w:pPr>
        <w:bidi w:val="1"/>
      </w:pPr>
      <w:r>
        <w:rPr>
          <w:rFonts w:cs="Segoe UI" w:ascii="Segoe UI" w:hAnsi="Segoe UI"/>
          <w:b w:val="0"/>
          <w:i w:val="0"/>
          <w:rtl w:val="1"/>
        </w:rPr>
        <w:t>يضيف زر «إضافة معيار بحث» بطاقة معيار. ويحتاج كل معيار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6468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5646890" cy="6949439"/>
                    </a:xfrm>
                    <a:prstGeom prst="rect"/>
                  </pic:spPr>
                </pic:pic>
              </a:graphicData>
            </a:graphic>
          </wp:inline>
        </w:drawing>
      </w:r>
    </w:p>
    <w:p>
      <w:pPr>
        <w:spacing w:after="240"/>
        <w:jc w:val="center"/>
        <w:bidi w:val="1"/>
      </w:pPr>
      <w:r>
        <w:rPr>
          <w:rFonts w:cs="Segoe UI" w:ascii="Segoe UI" w:hAnsi="Segoe UI"/>
          <w:i/>
          <w:color w:val="5B616E"/>
          <w:sz w:val="18"/>
          <w:rtl w:val="1"/>
        </w:rPr>
        <w:t>شكل 22. محرر معايير البحث، ويظهر فيه معيار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معايير القوائم المنسدلة</w:t>
      </w:r>
    </w:p>
    <w:p>
      <w:pPr>
        <w:bidi w:val="1"/>
      </w:pPr>
      <w:r>
        <w:rPr>
          <w:rFonts w:cs="Segoe UI" w:ascii="Segoe UI" w:hAnsi="Segoe UI"/>
          <w:b w:val="0"/>
          <w:i w:val="0"/>
          <w:rtl w:val="1"/>
        </w:rPr>
        <w:t>يستمد معيار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المعيار.</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معيار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التقارير</w:t>
      </w:r>
    </w:p>
    <w:p>
      <w:pPr>
        <w:bidi w:val="1"/>
      </w:pPr>
      <w:r>
        <w:rPr>
          <w:rFonts w:cs="Segoe UI" w:ascii="Segoe UI" w:hAnsi="Segoe UI"/>
          <w:b w:val="0"/>
          <w:i/>
          <w:rtl w:val="1"/>
        </w:rPr>
        <w:t>لمن: يشغّلها الجميع، ويبنيها المسؤولون.</w:t>
      </w:r>
    </w:p>
    <w:p>
      <w:pPr>
        <w:bidi w:val="1"/>
      </w:pPr>
      <w:r>
        <w:rPr>
          <w:rFonts w:cs="Segoe UI" w:ascii="Segoe UI" w:hAnsi="Segoe UI"/>
          <w:b w:val="0"/>
          <w:i w:val="0"/>
          <w:rtl w:val="1"/>
        </w:rPr>
        <w:t>الاستعلام يجيب عن سؤال واحد ويعيد جدولًا واحدًا. أما التقرير فيجيب عن عدة أسئلة معًا: إذ ينفّذ مجموعة من الاستعلامات في آنٍ واحد، بمعايير بحث موحّدة، ويعرض النتائج في مستند واحد — كحزمة تقارير شهرية أو ملخص فرع أو كشف حساب عميل.</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التقارير ليست جزءًا منفصلًا من النظام يحتاج تعلّمًا خاصًا. فهي تظهر في صفحة «الاستعلامات» نفسها إلى جانب الاستعلامات، وضمن مجموعات الاستعلامات نفسها، والصلاحية التي تصل إلى المجموعة تصل إلى تقاريرها كذلك. وبالنسبة لمن يشغّل التقرير، فهو ببساطة عنصر يعرض عدة جداول بدل جدول واحد.</w:t>
            </w:r>
          </w:p>
        </w:tc>
      </w:tr>
    </w:tbl>
    <w:p>
      <w:pPr>
        <w:bidi w:val="1"/>
      </w:pPr>
    </w:p>
    <w:p>
      <w:pPr>
        <w:pStyle w:val="Heading2"/>
        <w:bidi w:val="1"/>
      </w:pPr>
      <w:r>
        <w:rPr>
          <w:rFonts w:cs="Segoe UI" w:ascii="Segoe UI" w:hAnsi="Segoe UI"/>
          <w:rtl w:val="1"/>
        </w:rPr>
        <w:t>٧.١ تشغيل التقرير</w:t>
      </w:r>
    </w:p>
    <w:p>
      <w:pPr>
        <w:bidi w:val="1"/>
      </w:pPr>
      <w:r>
        <w:rPr>
          <w:rFonts w:cs="Segoe UI" w:ascii="Segoe UI" w:hAnsi="Segoe UI"/>
          <w:b w:val="0"/>
          <w:i w:val="0"/>
          <w:rtl w:val="1"/>
        </w:rPr>
        <w:t>افتحه من صفحة «الاستعلامات» تمامًا كما تفتح أي استعلام. عبّئ معايير البحث مرة واحدة — فهي مشتركة بين كل الاستعلامات التي يشغّلها التقرير — ثم اضغط «تشغيل».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451966" cy="6949439"/>
            <wp:docPr id="25" name="Picture 25"/>
            <wp:cNvGraphicFramePr>
              <a:graphicFrameLocks noChangeAspect="1"/>
            </wp:cNvGraphicFramePr>
            <a:graphic>
              <a:graphicData uri="http://schemas.openxmlformats.org/drawingml/2006/picture">
                <pic:pic>
                  <pic:nvPicPr>
                    <pic:cNvPr id="0" name="46-report-run.png"/>
                    <pic:cNvPicPr/>
                  </pic:nvPicPr>
                  <pic:blipFill>
                    <a:blip r:embed="rId33"/>
                    <a:stretch>
                      <a:fillRect/>
                    </a:stretch>
                  </pic:blipFill>
                  <pic:spPr>
                    <a:xfrm>
                      <a:off x="0" y="0"/>
                      <a:ext cx="5451966" cy="6949439"/>
                    </a:xfrm>
                    <a:prstGeom prst="rect"/>
                  </pic:spPr>
                </pic:pic>
              </a:graphicData>
            </a:graphic>
          </wp:inline>
        </w:drawing>
      </w:r>
    </w:p>
    <w:p>
      <w:pPr>
        <w:spacing w:after="240"/>
        <w:jc w:val="center"/>
        <w:bidi w:val="1"/>
      </w:pPr>
      <w:r>
        <w:rPr>
          <w:rFonts w:cs="Segoe UI" w:ascii="Segoe UI" w:hAnsi="Segoe UI"/>
          <w:i/>
          <w:color w:val="5B616E"/>
          <w:sz w:val="18"/>
          <w:rtl w:val="1"/>
        </w:rPr>
        <w:t>شكل 25. التقرير على الشاشة: نموذج معايير واحد، ثم الرسوم البيانية، ثم تبويب لكل قسم.</w:t>
      </w:r>
    </w:p>
    <w:p>
      <w:pPr>
        <w:pStyle w:val="ListBullet"/>
        <w:bidi w:val="1"/>
      </w:pPr>
      <w:r>
        <w:rPr>
          <w:rFonts w:cs="Segoe UI" w:ascii="Segoe UI" w:hAnsi="Segoe UI"/>
          <w:b/>
          <w:rtl w:val="1"/>
        </w:rPr>
        <w:t xml:space="preserve">كل قسم في تبويب. </w:t>
      </w:r>
      <w:r>
        <w:rPr>
          <w:rFonts w:cs="Segoe UI" w:ascii="Segoe UI" w:hAnsi="Segoe UI"/>
          <w:rtl w:val="1"/>
        </w:rPr>
        <w:t>كل قسم هو الجدول المُصفّح نفسه المستخدم في نتائج الاستعلامات، بمرشّحات الأعمدة والترتيب الخاصة به، فلا يكلّف القسم الكبير سوى صفحة واحدة من السجلات بدل كلها.</w:t>
      </w:r>
    </w:p>
    <w:p>
      <w:pPr>
        <w:pStyle w:val="ListBullet"/>
        <w:bidi w:val="1"/>
      </w:pPr>
      <w:r>
        <w:rPr>
          <w:rFonts w:cs="Segoe UI" w:ascii="Segoe UI" w:hAnsi="Segoe UI"/>
          <w:b/>
          <w:rtl w:val="1"/>
        </w:rPr>
        <w:t xml:space="preserve">الرسوم البيانية أولًا. </w:t>
      </w:r>
      <w:r>
        <w:rPr>
          <w:rFonts w:cs="Segoe UI" w:ascii="Segoe UI" w:hAnsi="Segoe UI"/>
          <w:rtl w:val="1"/>
        </w:rPr>
        <w:t>تُرسم من الأرقام نفسها التي تعرضها الأقسام تحتها.</w:t>
      </w:r>
    </w:p>
    <w:p>
      <w:pPr>
        <w:pStyle w:val="ListBullet"/>
        <w:bidi w:val="1"/>
      </w:pPr>
      <w:r>
        <w:rPr>
          <w:rFonts w:cs="Segoe UI" w:ascii="Segoe UI" w:hAnsi="Segoe UI"/>
          <w:b/>
          <w:rtl w:val="1"/>
        </w:rPr>
        <w:t xml:space="preserve">تظهر التنبيهات فوق النتائج. </w:t>
      </w:r>
      <w:r>
        <w:rPr>
          <w:rFonts w:cs="Segoe UI" w:ascii="Segoe UI" w:hAnsi="Segoe UI"/>
          <w:rtl w:val="1"/>
        </w:rPr>
        <w:t>القسم الذي بلغ حدّ عدد السجلات، أو الاستعلام الذي أخفق بينما نجح الباقي، يُبلَّغ عنه هنا بدل أن يُفشِل التقرير كله.</w:t>
      </w:r>
    </w:p>
    <w:p>
      <w:pPr>
        <w:pStyle w:val="ListBullet"/>
        <w:bidi w:val="1"/>
      </w:pPr>
      <w:r>
        <w:rPr>
          <w:rFonts w:cs="Segoe UI" w:ascii="Segoe UI" w:hAnsi="Segoe UI"/>
          <w:b/>
          <w:rtl w:val="1"/>
        </w:rPr>
        <w:t xml:space="preserve">التصدير يكتب المستند كاملًا. </w:t>
      </w:r>
      <w:r>
        <w:rPr>
          <w:rFonts w:cs="Segoe UI" w:ascii="Segoe UI" w:hAnsi="Segoe UI"/>
          <w:rtl w:val="1"/>
        </w:rPr>
        <w:t>لا التبويب المعروض أمامك فحسب، بل كل الأقسام بالترتيب الذي يحدّده التقرير.</w:t>
      </w:r>
    </w:p>
    <w:p>
      <w:pPr>
        <w:pStyle w:val="Heading2"/>
        <w:bidi w:val="1"/>
      </w:pPr>
      <w:r>
        <w:rPr>
          <w:rFonts w:cs="Segoe UI" w:ascii="Segoe UI" w:hAnsi="Segoe UI"/>
          <w:rtl w:val="1"/>
        </w:rPr>
        <w:t>٧.٢ ممّ يتكوّن التقرير</w:t>
      </w:r>
    </w:p>
    <w:p>
      <w:pPr>
        <w:bidi w:val="1"/>
      </w:pPr>
      <w:r>
        <w:rPr>
          <w:rFonts w:cs="Segoe UI" w:ascii="Segoe UI" w:hAnsi="Segoe UI"/>
          <w:b w:val="0"/>
          <w:i w:val="0"/>
          <w:rtl w:val="1"/>
        </w:rPr>
        <w:t>التقرير قائمة من مجموعات البيانات المسمّاة. والاسم — أي مفتاح مجموعة البيانات — هو ما يستخدمه قالب Word لوضع جدول تلك المجموعة. ويتكوّن المفتاح من حروف وأرقام وشرطات سفلية فقط، ويجب أن يكون فريدًا داخل التقرير.</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تبويب «التفاصيل»: اسم التقرير ومجموعته والحدود الثلاثة التي تضبط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«مجموعات البيانات». تسمّي كل مجموعة استعلامًا محفوظًا وتحدّد كيفية تعبئة معايير بحثه.</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440"/>
            <w:shd w:val="clear" w:fill="3730A3"/>
          </w:tcPr>
          <w:p>
            <w:pPr>
              <w:spacing w:after="40"/>
              <w:bidi w:val="1"/>
            </w:pPr>
            <w:r>
              <w:rPr>
                <w:rFonts w:cs="Segoe UI" w:ascii="Segoe UI" w:hAnsi="Segoe UI"/>
                <w:b/>
                <w:color w:val="FFFFFF"/>
                <w:sz w:val="18"/>
                <w:rtl w:val="1"/>
              </w:rPr>
              <w:t>النوع</w:t>
            </w:r>
          </w:p>
        </w:tc>
        <w:tc>
          <w:tcPr>
            <w:tcW w:type="dxa" w:w="4176"/>
            <w:shd w:val="clear" w:fill="3730A3"/>
          </w:tcPr>
          <w:p>
            <w:pPr>
              <w:spacing w:after="40"/>
              <w:bidi w:val="1"/>
            </w:pPr>
            <w:r>
              <w:rPr>
                <w:rFonts w:cs="Segoe UI" w:ascii="Segoe UI" w:hAnsi="Segoe UI"/>
                <w:b/>
                <w:color w:val="FFFFFF"/>
                <w:sz w:val="18"/>
                <w:rtl w:val="1"/>
              </w:rPr>
              <w:t>ما الذي يفعله</w:t>
            </w:r>
          </w:p>
        </w:tc>
        <w:tc>
          <w:tcPr>
            <w:tcW w:type="dxa" w:w="3312"/>
            <w:shd w:val="clear" w:fill="3730A3"/>
          </w:tcPr>
          <w:p>
            <w:pPr>
              <w:spacing w:after="40"/>
              <w:bidi w:val="1"/>
            </w:pPr>
            <w:r>
              <w:rPr>
                <w:rFonts w:cs="Segoe UI" w:ascii="Segoe UI" w:hAnsi="Segoe UI"/>
                <w:b/>
                <w:color w:val="FFFFFF"/>
                <w:sz w:val="18"/>
                <w:rtl w:val="1"/>
              </w:rPr>
              <w:t>يُستخدم في</w:t>
            </w:r>
          </w:p>
        </w:tc>
      </w:tr>
      <w:tr>
        <w:tc>
          <w:tcPr>
            <w:tcW w:type="dxa" w:w="1440"/>
          </w:tcPr>
          <w:p>
            <w:pPr>
              <w:spacing w:after="40"/>
              <w:bidi w:val="1"/>
            </w:pPr>
            <w:r>
              <w:rPr>
                <w:rFonts w:cs="Segoe UI" w:ascii="Segoe UI" w:hAnsi="Segoe UI"/>
                <w:b/>
                <w:sz w:val="18"/>
                <w:rtl w:val="1"/>
              </w:rPr>
              <w:t>استعلام</w:t>
            </w:r>
          </w:p>
        </w:tc>
        <w:tc>
          <w:tcPr>
            <w:tcW w:type="dxa" w:w="4176"/>
          </w:tcPr>
          <w:p>
            <w:pPr>
              <w:spacing w:after="40"/>
              <w:bidi w:val="1"/>
            </w:pPr>
            <w:r>
              <w:rPr>
                <w:rFonts w:cs="Segoe UI" w:ascii="Segoe UI" w:hAnsi="Segoe UI"/>
                <w:sz w:val="18"/>
                <w:rtl w:val="1"/>
              </w:rPr>
              <w:t>ينفّذ استعلامًا محفوظًا واحدًا ويعيد سجلاته.</w:t>
            </w:r>
          </w:p>
        </w:tc>
        <w:tc>
          <w:tcPr>
            <w:tcW w:type="dxa" w:w="3312"/>
          </w:tcPr>
          <w:p>
            <w:pPr>
              <w:spacing w:after="40"/>
              <w:bidi w:val="1"/>
            </w:pPr>
            <w:r>
              <w:rPr>
                <w:rFonts w:cs="Segoe UI" w:ascii="Segoe UI" w:hAnsi="Segoe UI"/>
                <w:sz w:val="18"/>
                <w:rtl w:val="1"/>
              </w:rPr>
              <w:t>قسم مستقل يُعرض مع بقية الأقسام.</w:t>
            </w:r>
          </w:p>
        </w:tc>
      </w:tr>
      <w:tr>
        <w:tc>
          <w:tcPr>
            <w:tcW w:type="dxa" w:w="1440"/>
            <w:shd w:val="clear" w:fill="F4F5FA"/>
          </w:tcPr>
          <w:p>
            <w:pPr>
              <w:spacing w:after="40"/>
              <w:bidi w:val="1"/>
            </w:pPr>
            <w:r>
              <w:rPr>
                <w:rFonts w:cs="Segoe UI" w:ascii="Segoe UI" w:hAnsi="Segoe UI"/>
                <w:b/>
                <w:sz w:val="18"/>
                <w:rtl w:val="1"/>
              </w:rPr>
              <w:t>دمج</w:t>
            </w:r>
          </w:p>
        </w:tc>
        <w:tc>
          <w:tcPr>
            <w:tcW w:type="dxa" w:w="4176"/>
            <w:shd w:val="clear" w:fill="F4F5FA"/>
          </w:tcPr>
          <w:p>
            <w:pPr>
              <w:spacing w:after="40"/>
              <w:bidi w:val="1"/>
            </w:pPr>
            <w:r>
              <w:rPr>
                <w:rFonts w:cs="Segoe UI" w:ascii="Segoe UI" w:hAnsi="Segoe UI"/>
                <w:sz w:val="18"/>
                <w:rtl w:val="1"/>
              </w:rPr>
              <w:t>يدمج مجموعتَي بيانات مُحضَرتين مسبقًا، عبر عمود من كل منهما، في جدول واحد أوسع. داخلي أو أيسر.</w:t>
            </w:r>
          </w:p>
        </w:tc>
        <w:tc>
          <w:tcPr>
            <w:tcW w:type="dxa" w:w="3312"/>
            <w:shd w:val="clear" w:fill="F4F5FA"/>
          </w:tcPr>
          <w:p>
            <w:pPr>
              <w:spacing w:after="40"/>
              <w:bidi w:val="1"/>
            </w:pPr>
            <w:r>
              <w:rPr>
                <w:rFonts w:cs="Segoe UI" w:ascii="Segoe UI" w:hAnsi="Segoe UI"/>
                <w:sz w:val="18"/>
                <w:rtl w:val="1"/>
              </w:rPr>
              <w:t>وضع أعمدة استعلامين جنبًا إلى جنب في سطر واحد.</w:t>
            </w:r>
          </w:p>
        </w:tc>
      </w:tr>
      <w:tr>
        <w:tc>
          <w:tcPr>
            <w:tcW w:type="dxa" w:w="1440"/>
          </w:tcPr>
          <w:p>
            <w:pPr>
              <w:spacing w:after="40"/>
              <w:bidi w:val="1"/>
            </w:pPr>
            <w:r>
              <w:rPr>
                <w:rFonts w:cs="Segoe UI" w:ascii="Segoe UI" w:hAnsi="Segoe UI"/>
                <w:b/>
                <w:sz w:val="18"/>
                <w:rtl w:val="1"/>
              </w:rPr>
              <w:t>تفصيل</w:t>
            </w:r>
          </w:p>
        </w:tc>
        <w:tc>
          <w:tcPr>
            <w:tcW w:type="dxa" w:w="4176"/>
          </w:tcPr>
          <w:p>
            <w:pPr>
              <w:spacing w:after="40"/>
              <w:bidi w:val="1"/>
            </w:pPr>
            <w:r>
              <w:rPr>
                <w:rFonts w:cs="Segoe UI" w:ascii="Segoe UI" w:hAnsi="Segoe UI"/>
                <w:sz w:val="18"/>
                <w:rtl w:val="1"/>
              </w:rPr>
              <w:t>يعيد تنفيذ استعلامه لكل سطر من مجموعة بيانات أب، ممرِّرًا عمودًا من ذلك السطر كمعيار بحث.</w:t>
            </w:r>
          </w:p>
        </w:tc>
        <w:tc>
          <w:tcPr>
            <w:tcW w:type="dxa" w:w="3312"/>
          </w:tcPr>
          <w:p>
            <w:pPr>
              <w:spacing w:after="40"/>
              <w:bidi w:val="1"/>
            </w:pPr>
            <w:r>
              <w:rPr>
                <w:rFonts w:cs="Segoe UI" w:ascii="Segoe UI" w:hAnsi="Segoe UI"/>
                <w:sz w:val="18"/>
                <w:rtl w:val="1"/>
              </w:rPr>
              <w:t>الرئيسي والتفصيلي — كل عميل يتبعه سجلّه الخاص.</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مجموعة البيانات التفصيلية تنفّذ استعلامها مرة لكل سطر أب. فعشرة أسطر أب تعني عشر عمليات تنفيذ، لذا أبقِ الأب قصيرًا. والحد الأقصى لأسطر التفصيل في تبويب «التفاصيل» هو السقف: إذ يوسّع التشغيل ذلك العدد من أسطر الأب ويذكر في تنبيه كم ترك منها، بدل أن يخفق. ويمكن رفعه حتى ١٠٠٠ — وما بعد ذلك لا تستحق الكلفة، كما تحدّ مهلة التقرير نفسها التشغيل كاملًا على أي حال.</w:t>
            </w:r>
          </w:p>
        </w:tc>
      </w:tr>
    </w:tbl>
    <w:p>
      <w:pPr>
        <w:bidi w:val="1"/>
      </w:pPr>
    </w:p>
    <w:p>
      <w:pPr>
        <w:pStyle w:val="Heading2"/>
        <w:bidi w:val="1"/>
      </w:pPr>
      <w:r>
        <w:rPr>
          <w:rFonts w:cs="Segoe UI" w:ascii="Segoe UI" w:hAnsi="Segoe UI"/>
          <w:rtl w:val="1"/>
        </w:rPr>
        <w:t>٧.٣ مجموعة معايير واحدة لكل الاستعلامات</w:t>
      </w:r>
    </w:p>
    <w:p>
      <w:pPr>
        <w:bidi w:val="1"/>
      </w:pPr>
      <w:r>
        <w:rPr>
          <w:rFonts w:cs="Segoe UI" w:ascii="Segoe UI" w:hAnsi="Segoe UI"/>
          <w:b w:val="0"/>
          <w:i w:val="0"/>
          <w:rtl w:val="1"/>
        </w:rPr>
        <w:t>يعرّف التقرير معايير البحث الخاصة به — وهي التي يعبّئها القارئ — وتحدّد كل مجموعة بيانات مصدر كل معيار من معايير استعلامها. وهكذا يمكن لفترة زمنية واحدة أن تغذّي خمسة استعلامات سمّى كلٌّ منها المعيار باسم مختلف.</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«معايير البحث». هذه هي الحقول التي يراها القارئ.</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المصدر</w:t>
            </w:r>
          </w:p>
        </w:tc>
        <w:tc>
          <w:tcPr>
            <w:tcW w:type="dxa" w:w="6624"/>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معيار من التقرير</w:t>
            </w:r>
          </w:p>
        </w:tc>
        <w:tc>
          <w:tcPr>
            <w:tcW w:type="dxa" w:w="6624"/>
          </w:tcPr>
          <w:p>
            <w:pPr>
              <w:spacing w:after="40"/>
              <w:bidi w:val="1"/>
            </w:pPr>
            <w:r>
              <w:rPr>
                <w:rFonts w:cs="Segoe UI" w:ascii="Segoe UI" w:hAnsi="Segoe UI"/>
                <w:sz w:val="18"/>
                <w:rtl w:val="1"/>
              </w:rPr>
              <w:t>يأخذ القيمة التي أدخلها القارئ في معيار التقرير المسمّى.</w:t>
            </w:r>
          </w:p>
        </w:tc>
      </w:tr>
      <w:tr>
        <w:tc>
          <w:tcPr>
            <w:tcW w:type="dxa" w:w="2304"/>
            <w:shd w:val="clear" w:fill="F4F5FA"/>
          </w:tcPr>
          <w:p>
            <w:pPr>
              <w:spacing w:after="40"/>
              <w:bidi w:val="1"/>
            </w:pPr>
            <w:r>
              <w:rPr>
                <w:rFonts w:cs="Segoe UI" w:ascii="Segoe UI" w:hAnsi="Segoe UI"/>
                <w:sz w:val="18"/>
                <w:rtl w:val="1"/>
              </w:rPr>
              <w:t>قيمة ثابتة</w:t>
            </w:r>
          </w:p>
        </w:tc>
        <w:tc>
          <w:tcPr>
            <w:tcW w:type="dxa" w:w="6624"/>
            <w:shd w:val="clear" w:fill="F4F5FA"/>
          </w:tcPr>
          <w:p>
            <w:pPr>
              <w:spacing w:after="40"/>
              <w:bidi w:val="1"/>
            </w:pPr>
            <w:r>
              <w:rPr>
                <w:rFonts w:cs="Segoe UI" w:ascii="Segoe UI" w:hAnsi="Segoe UI"/>
                <w:sz w:val="18"/>
                <w:rtl w:val="1"/>
              </w:rPr>
              <w:t>قيمة واحدة ثابتة تُحدَّد عند بناء التقرير. مفيدة لمرشّح حالة أو عدد سجلات لا يُراد للقارئ تغييره.</w:t>
            </w:r>
          </w:p>
        </w:tc>
      </w:tr>
      <w:tr>
        <w:tc>
          <w:tcPr>
            <w:tcW w:type="dxa" w:w="2304"/>
          </w:tcPr>
          <w:p>
            <w:pPr>
              <w:spacing w:after="40"/>
              <w:bidi w:val="1"/>
            </w:pPr>
            <w:r>
              <w:rPr>
                <w:rFonts w:cs="Segoe UI" w:ascii="Segoe UI" w:hAnsi="Segoe UI"/>
                <w:sz w:val="18"/>
                <w:rtl w:val="1"/>
              </w:rPr>
              <w:t>عمود من الأب</w:t>
            </w:r>
          </w:p>
        </w:tc>
        <w:tc>
          <w:tcPr>
            <w:tcW w:type="dxa" w:w="6624"/>
          </w:tcPr>
          <w:p>
            <w:pPr>
              <w:spacing w:after="40"/>
              <w:bidi w:val="1"/>
            </w:pPr>
            <w:r>
              <w:rPr>
                <w:rFonts w:cs="Segoe UI" w:ascii="Segoe UI" w:hAnsi="Segoe UI"/>
                <w:sz w:val="18"/>
                <w:rtl w:val="1"/>
              </w:rPr>
              <w:t>لمجموعات البيانات التفصيلية فقط: قيمة العمود المسمّى في سطر الأب الجاري توسيعه.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معيار الاستعلام غير المربوط يعود إلى قيمته الافتراضية. فإن لم تكن له قيمة افتراضية وكان مطلوبًا، فلن يعمل التقرير — ويُنبّه تبويب «مجموعات البيانات» إلى ذلك عند الحفظ.</w:t>
            </w:r>
          </w:p>
        </w:tc>
      </w:tr>
    </w:tbl>
    <w:p>
      <w:pPr>
        <w:bidi w:val="1"/>
      </w:pPr>
    </w:p>
    <w:p>
      <w:pPr>
        <w:pStyle w:val="Heading2"/>
        <w:bidi w:val="1"/>
      </w:pPr>
      <w:r>
        <w:rPr>
          <w:rFonts w:cs="Segoe UI" w:ascii="Segoe UI" w:hAnsi="Segoe UI"/>
          <w:rtl w:val="1"/>
        </w:rPr>
        <w:t>٧.٤ الرسوم البيانية</w:t>
      </w:r>
    </w:p>
    <w:p>
      <w:pPr>
        <w:bidi w:val="1"/>
      </w:pPr>
      <w:r>
        <w:rPr>
          <w:rFonts w:cs="Segoe UI" w:ascii="Segoe UI" w:hAnsi="Segoe UI"/>
          <w:b w:val="0"/>
          <w:i w:val="0"/>
          <w:rtl w:val="1"/>
        </w:rPr>
        <w:t>يرسم المخطط مجموعة بيانات واحدة: عمود يوفّر الفئات، وعمود أو أكثر يوفّر القيم. ويظهر فوق الأقسام على الشاشة، وفي موضع علامته داخل القالب.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«الرسوم البيانية». تُفصل أعمدة القيم بفواصل.</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النوع</w:t>
            </w:r>
          </w:p>
        </w:tc>
        <w:tc>
          <w:tcPr>
            <w:tcW w:type="dxa" w:w="6912"/>
            <w:shd w:val="clear" w:fill="3730A3"/>
          </w:tcPr>
          <w:p>
            <w:pPr>
              <w:spacing w:after="40"/>
              <w:bidi w:val="1"/>
            </w:pPr>
            <w:r>
              <w:rPr>
                <w:rFonts w:cs="Segoe UI" w:ascii="Segoe UI" w:hAnsi="Segoe UI"/>
                <w:b/>
                <w:color w:val="FFFFFF"/>
                <w:sz w:val="18"/>
                <w:rtl w:val="1"/>
              </w:rPr>
              <w:t>الأنسب لـ</w:t>
            </w:r>
          </w:p>
        </w:tc>
      </w:tr>
      <w:tr>
        <w:tc>
          <w:tcPr>
            <w:tcW w:type="dxa" w:w="2016"/>
          </w:tcPr>
          <w:p>
            <w:pPr>
              <w:spacing w:after="40"/>
              <w:bidi w:val="1"/>
            </w:pPr>
            <w:r>
              <w:rPr>
                <w:rFonts w:cs="Segoe UI" w:ascii="Segoe UI" w:hAnsi="Segoe UI"/>
                <w:sz w:val="18"/>
                <w:rtl w:val="1"/>
              </w:rPr>
              <w:t>أعمدة رأسية</w:t>
            </w:r>
          </w:p>
        </w:tc>
        <w:tc>
          <w:tcPr>
            <w:tcW w:type="dxa" w:w="6912"/>
          </w:tcPr>
          <w:p>
            <w:pPr>
              <w:spacing w:after="40"/>
              <w:bidi w:val="1"/>
            </w:pPr>
            <w:r>
              <w:rPr>
                <w:rFonts w:cs="Segoe UI" w:ascii="Segoe UI" w:hAnsi="Segoe UI"/>
                <w:sz w:val="18"/>
                <w:rtl w:val="1"/>
              </w:rPr>
              <w:t>مقارنة قيمة عبر عدد محدود من الفئات.</w:t>
            </w:r>
          </w:p>
        </w:tc>
      </w:tr>
      <w:tr>
        <w:tc>
          <w:tcPr>
            <w:tcW w:type="dxa" w:w="2016"/>
            <w:shd w:val="clear" w:fill="F4F5FA"/>
          </w:tcPr>
          <w:p>
            <w:pPr>
              <w:spacing w:after="40"/>
              <w:bidi w:val="1"/>
            </w:pPr>
            <w:r>
              <w:rPr>
                <w:rFonts w:cs="Segoe UI" w:ascii="Segoe UI" w:hAnsi="Segoe UI"/>
                <w:sz w:val="18"/>
                <w:rtl w:val="1"/>
              </w:rPr>
              <w:t>أعمدة أفقية</w:t>
            </w:r>
          </w:p>
        </w:tc>
        <w:tc>
          <w:tcPr>
            <w:tcW w:type="dxa" w:w="6912"/>
            <w:shd w:val="clear" w:fill="F4F5FA"/>
          </w:tcPr>
          <w:p>
            <w:pPr>
              <w:spacing w:after="40"/>
              <w:bidi w:val="1"/>
            </w:pPr>
            <w:r>
              <w:rPr>
                <w:rFonts w:cs="Segoe UI" w:ascii="Segoe UI" w:hAnsi="Segoe UI"/>
                <w:sz w:val="18"/>
                <w:rtl w:val="1"/>
              </w:rPr>
              <w:t>الغرض نفسه، حين تكون أسماء الفئات طويلة.</w:t>
            </w:r>
          </w:p>
        </w:tc>
      </w:tr>
      <w:tr>
        <w:tc>
          <w:tcPr>
            <w:tcW w:type="dxa" w:w="2016"/>
          </w:tcPr>
          <w:p>
            <w:pPr>
              <w:spacing w:after="40"/>
              <w:bidi w:val="1"/>
            </w:pPr>
            <w:r>
              <w:rPr>
                <w:rFonts w:cs="Segoe UI" w:ascii="Segoe UI" w:hAnsi="Segoe UI"/>
                <w:sz w:val="18"/>
                <w:rtl w:val="1"/>
              </w:rPr>
              <w:t>خط بياني</w:t>
            </w:r>
          </w:p>
        </w:tc>
        <w:tc>
          <w:tcPr>
            <w:tcW w:type="dxa" w:w="6912"/>
          </w:tcPr>
          <w:p>
            <w:pPr>
              <w:spacing w:after="40"/>
              <w:bidi w:val="1"/>
            </w:pPr>
            <w:r>
              <w:rPr>
                <w:rFonts w:cs="Segoe UI" w:ascii="Segoe UI" w:hAnsi="Segoe UI"/>
                <w:sz w:val="18"/>
                <w:rtl w:val="1"/>
              </w:rPr>
              <w:t>قيمة تتغيّر عبر الزمن.</w:t>
            </w:r>
          </w:p>
        </w:tc>
      </w:tr>
      <w:tr>
        <w:tc>
          <w:tcPr>
            <w:tcW w:type="dxa" w:w="2016"/>
            <w:shd w:val="clear" w:fill="F4F5FA"/>
          </w:tcPr>
          <w:p>
            <w:pPr>
              <w:spacing w:after="40"/>
              <w:bidi w:val="1"/>
            </w:pPr>
            <w:r>
              <w:rPr>
                <w:rFonts w:cs="Segoe UI" w:ascii="Segoe UI" w:hAnsi="Segoe UI"/>
                <w:sz w:val="18"/>
                <w:rtl w:val="1"/>
              </w:rPr>
              <w:t>دائري</w:t>
            </w:r>
          </w:p>
        </w:tc>
        <w:tc>
          <w:tcPr>
            <w:tcW w:type="dxa" w:w="6912"/>
            <w:shd w:val="clear" w:fill="F4F5FA"/>
          </w:tcPr>
          <w:p>
            <w:pPr>
              <w:spacing w:after="40"/>
              <w:bidi w:val="1"/>
            </w:pPr>
            <w:r>
              <w:rPr>
                <w:rFonts w:cs="Segoe UI" w:ascii="Segoe UI" w:hAnsi="Segoe UI"/>
                <w:sz w:val="18"/>
                <w:rtl w:val="1"/>
              </w:rPr>
              <w:t>أجزاء من كلٍّ واحد. سلسلة واحدة فقط.</w:t>
            </w:r>
          </w:p>
        </w:tc>
      </w:tr>
    </w:tbl>
    <w:p>
      <w:pPr>
        <w:bidi w:val="1"/>
      </w:pPr>
    </w:p>
    <w:p>
      <w:pPr>
        <w:pStyle w:val="ListBullet"/>
        <w:bidi w:val="1"/>
      </w:pPr>
      <w:r>
        <w:rPr>
          <w:rFonts w:cs="Segoe UI" w:ascii="Segoe UI" w:hAnsi="Segoe UI"/>
          <w:b/>
          <w:rtl w:val="1"/>
        </w:rPr>
        <w:t xml:space="preserve">أسماء الأعمدة هي التي يعيدها الاستعلام. </w:t>
      </w:r>
      <w:r>
        <w:rPr>
          <w:rFonts w:cs="Segoe UI" w:ascii="Segoe UI" w:hAnsi="Segoe UI"/>
          <w:rtl w:val="1"/>
        </w:rPr>
        <w:t>فإن كان الاستعلام يعيد تسمية عمود، فاستخدم الاسم البديل — فهو ما يظهر في الجدول.</w:t>
      </w:r>
    </w:p>
    <w:p>
      <w:pPr>
        <w:pStyle w:val="ListBullet"/>
        <w:bidi w:val="1"/>
      </w:pPr>
      <w:r>
        <w:rPr>
          <w:rFonts w:cs="Segoe UI" w:ascii="Segoe UI" w:hAnsi="Segoe UI"/>
          <w:b/>
          <w:rtl w:val="1"/>
        </w:rPr>
        <w:t xml:space="preserve">الخلية غير الرقمية تصبح فجوة، </w:t>
      </w:r>
      <w:r>
        <w:rPr>
          <w:rFonts w:cs="Segoe UI" w:ascii="Segoe UI" w:hAnsi="Segoe UI"/>
          <w:rtl w:val="1"/>
        </w:rPr>
        <w:t>لا صفرًا — فالشهر الفارغ لا يرسم خطًا هابطًا إلى المحور.</w:t>
      </w:r>
    </w:p>
    <w:p>
      <w:pPr>
        <w:pStyle w:val="ListBullet"/>
        <w:bidi w:val="1"/>
      </w:pPr>
      <w:r>
        <w:rPr>
          <w:rFonts w:cs="Segoe UI" w:ascii="Segoe UI" w:hAnsi="Segoe UI"/>
          <w:b/>
          <w:rtl w:val="1"/>
        </w:rPr>
        <w:t xml:space="preserve">أقصى عدد للفئات </w:t>
      </w:r>
      <w:r>
        <w:rPr>
          <w:rFonts w:cs="Segoe UI" w:ascii="Segoe UI" w:hAnsi="Segoe UI"/>
          <w:rtl w:val="1"/>
        </w:rPr>
        <w:t>يُبقي مخطط الألف سطر مقروءًا؛ والأسطر الزائدة تبقى موجودة في جدول القسم.</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يتشارك مفتاح المخطط ومفتاح مجموعة البيانات فضاء أسماء واحدًا، فلا يمكن منح المخطط مفتاح مجموعة بيانات — وإلا لاختلفت ‎{{RESULTS:x}}‎ و‎{{CHART:x}}‎ في تحديد ماهية x.</w:t>
            </w:r>
          </w:p>
        </w:tc>
      </w:tr>
    </w:tbl>
    <w:p>
      <w:pPr>
        <w:bidi w:val="1"/>
      </w:pPr>
    </w:p>
    <w:p>
      <w:pPr>
        <w:pStyle w:val="Heading2"/>
        <w:bidi w:val="1"/>
      </w:pPr>
      <w:r>
        <w:rPr>
          <w:rFonts w:cs="Segoe UI" w:ascii="Segoe UI" w:hAnsi="Segoe UI"/>
          <w:rtl w:val="1"/>
        </w:rPr>
        <w:t>٧.٥ قالب Word</w:t>
      </w:r>
    </w:p>
    <w:p>
      <w:pPr>
        <w:bidi w:val="1"/>
      </w:pPr>
      <w:r>
        <w:rPr>
          <w:rFonts w:cs="Segoe UI" w:ascii="Segoe UI" w:hAnsi="Segoe UI"/>
          <w:b w:val="0"/>
          <w:i w:val="0"/>
          <w:rtl w:val="1"/>
        </w:rPr>
        <w:t>التصميم مستند Word تُعدّه بنفسك وترفعه. فالتطبيق يوفّر البيانات، والقالب يقرّر شكلها — الخطوط والعناوين وحجم الصفحة والترويسة، وكل ما يستطيع Word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تبويب «القالب»: رفع أو تنزيل أو البدء من قالب مُولَّد.</w:t>
      </w:r>
    </w:p>
    <w:p>
      <w:pPr>
        <w:bidi w:val="1"/>
      </w:pPr>
      <w:r>
        <w:rPr>
          <w:rFonts w:cs="Segoe UI" w:ascii="Segoe UI" w:hAnsi="Segoe UI"/>
          <w:b/>
          <w:i w:val="0"/>
          <w:rtl w:val="1"/>
        </w:rPr>
        <w:t>ابدأ بـ«تنزيل قالب مبدئي». فهو مُولَّد لهذا التقرير تحديدًا ويحتوي على المفاتيح الصحيحة، فتكون العلامات سليمة قبل أن تغيّر خطًا واحدًا.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880"/>
            <w:shd w:val="clear" w:fill="3730A3"/>
          </w:tcPr>
          <w:p>
            <w:pPr>
              <w:spacing w:after="40"/>
              <w:bidi w:val="1"/>
            </w:pPr>
            <w:r>
              <w:rPr>
                <w:rFonts w:cs="Segoe UI" w:ascii="Segoe UI" w:hAnsi="Segoe UI"/>
                <w:b/>
                <w:color w:val="FFFFFF"/>
                <w:sz w:val="18"/>
                <w:rtl w:val="1"/>
              </w:rPr>
              <w:t>العلامة</w:t>
            </w:r>
          </w:p>
        </w:tc>
        <w:tc>
          <w:tcPr>
            <w:tcW w:type="dxa" w:w="6048"/>
            <w:shd w:val="clear" w:fill="3730A3"/>
          </w:tcPr>
          <w:p>
            <w:pPr>
              <w:spacing w:after="40"/>
              <w:bidi w:val="1"/>
            </w:pPr>
            <w:r>
              <w:rPr>
                <w:rFonts w:cs="Segoe UI" w:ascii="Segoe UI" w:hAnsi="Segoe UI"/>
                <w:b/>
                <w:color w:val="FFFFFF"/>
                <w:sz w:val="18"/>
                <w:rtl w:val="1"/>
              </w:rPr>
              <w:t>يتحوّل إلى</w:t>
            </w:r>
          </w:p>
        </w:tc>
      </w:tr>
      <w:tr>
        <w:tc>
          <w:tcPr>
            <w:tcW w:type="dxa" w:w="2880"/>
          </w:tcPr>
          <w:p>
            <w:pPr>
              <w:spacing w:after="40"/>
              <w:bidi w:val="1"/>
            </w:pPr>
            <w:r>
              <w:rPr>
                <w:rFonts w:cs="Segoe UI" w:ascii="Segoe UI" w:hAnsi="Segoe UI"/>
                <w:sz w:val="18"/>
                <w:rtl w:val="1"/>
              </w:rPr>
              <w:t>{{RESULTS:key}}</w:t>
            </w:r>
          </w:p>
        </w:tc>
        <w:tc>
          <w:tcPr>
            <w:tcW w:type="dxa" w:w="6048"/>
          </w:tcPr>
          <w:p>
            <w:pPr>
              <w:spacing w:after="40"/>
              <w:bidi w:val="1"/>
            </w:pPr>
            <w:r>
              <w:rPr>
                <w:rFonts w:cs="Segoe UI" w:ascii="Segoe UI" w:hAnsi="Segoe UI"/>
                <w:sz w:val="18"/>
                <w:rtl w:val="1"/>
              </w:rPr>
              <w:t>جدول تلك المجموعة. وسطر الجدول الذي يحتوي العلامة هو النموذج التنسيقي: تُنسخ خطوطه وحدوده وتظليله إلى كل سطر بيانات.</w:t>
            </w:r>
          </w:p>
        </w:tc>
      </w:tr>
      <w:tr>
        <w:tc>
          <w:tcPr>
            <w:tcW w:type="dxa" w:w="2880"/>
            <w:shd w:val="clear" w:fill="F4F5FA"/>
          </w:tcPr>
          <w:p>
            <w:pPr>
              <w:spacing w:after="40"/>
              <w:bidi w:val="1"/>
            </w:pPr>
            <w:r>
              <w:rPr>
                <w:rFonts w:cs="Segoe UI" w:ascii="Segoe UI" w:hAnsi="Segoe UI"/>
                <w:sz w:val="18"/>
                <w:rtl w:val="1"/>
              </w:rPr>
              <w:t>{{ROW_COUNT:key}}</w:t>
            </w:r>
          </w:p>
        </w:tc>
        <w:tc>
          <w:tcPr>
            <w:tcW w:type="dxa" w:w="6048"/>
            <w:shd w:val="clear" w:fill="F4F5FA"/>
          </w:tcPr>
          <w:p>
            <w:pPr>
              <w:spacing w:after="40"/>
              <w:bidi w:val="1"/>
            </w:pPr>
            <w:r>
              <w:rPr>
                <w:rFonts w:cs="Segoe UI" w:ascii="Segoe UI" w:hAnsi="Segoe UI"/>
                <w:sz w:val="18"/>
                <w:rtl w:val="1"/>
              </w:rPr>
              <w:t>عدد السجلات التي أعادتها تلك المجموعة.</w:t>
            </w:r>
          </w:p>
        </w:tc>
      </w:tr>
      <w:tr>
        <w:tc>
          <w:tcPr>
            <w:tcW w:type="dxa" w:w="2880"/>
          </w:tcPr>
          <w:p>
            <w:pPr>
              <w:spacing w:after="40"/>
              <w:bidi w:val="1"/>
            </w:pPr>
            <w:r>
              <w:rPr>
                <w:rFonts w:cs="Segoe UI" w:ascii="Segoe UI" w:hAnsi="Segoe UI"/>
                <w:sz w:val="18"/>
                <w:rtl w:val="1"/>
              </w:rPr>
              <w:t>{{VALUE:key.Column}}</w:t>
            </w:r>
          </w:p>
        </w:tc>
        <w:tc>
          <w:tcPr>
            <w:tcW w:type="dxa" w:w="6048"/>
          </w:tcPr>
          <w:p>
            <w:pPr>
              <w:spacing w:after="40"/>
              <w:bidi w:val="1"/>
            </w:pPr>
            <w:r>
              <w:rPr>
                <w:rFonts w:cs="Segoe UI" w:ascii="Segoe UI" w:hAnsi="Segoe UI"/>
                <w:sz w:val="18"/>
                <w:rtl w:val="1"/>
              </w:rPr>
              <w:t>خلية واحدة من السطر الأول — لعرض رقم بارز.</w:t>
            </w:r>
          </w:p>
        </w:tc>
      </w:tr>
      <w:tr>
        <w:tc>
          <w:tcPr>
            <w:tcW w:type="dxa" w:w="2880"/>
            <w:shd w:val="clear" w:fill="F4F5FA"/>
          </w:tcPr>
          <w:p>
            <w:pPr>
              <w:spacing w:after="40"/>
              <w:bidi w:val="1"/>
            </w:pPr>
            <w:r>
              <w:rPr>
                <w:rFonts w:cs="Segoe UI" w:ascii="Segoe UI" w:hAnsi="Segoe UI"/>
                <w:sz w:val="18"/>
                <w:rtl w:val="1"/>
              </w:rPr>
              <w:t>{{CHART:key}}</w:t>
            </w:r>
          </w:p>
        </w:tc>
        <w:tc>
          <w:tcPr>
            <w:tcW w:type="dxa" w:w="6048"/>
            <w:shd w:val="clear" w:fill="F4F5FA"/>
          </w:tcPr>
          <w:p>
            <w:pPr>
              <w:spacing w:after="40"/>
              <w:bidi w:val="1"/>
            </w:pPr>
            <w:r>
              <w:rPr>
                <w:rFonts w:cs="Segoe UI" w:ascii="Segoe UI" w:hAnsi="Segoe UI"/>
                <w:sz w:val="18"/>
                <w:rtl w:val="1"/>
              </w:rPr>
              <w:t>المخطط الذي يحمل ذلك المفتاح.</w:t>
            </w:r>
          </w:p>
        </w:tc>
      </w:tr>
      <w:tr>
        <w:tc>
          <w:tcPr>
            <w:tcW w:type="dxa" w:w="2880"/>
          </w:tcPr>
          <w:p>
            <w:pPr>
              <w:spacing w:after="40"/>
              <w:bidi w:val="1"/>
            </w:pPr>
            <w:r>
              <w:rPr>
                <w:rFonts w:cs="Segoe UI" w:ascii="Segoe UI" w:hAnsi="Segoe UI"/>
                <w:sz w:val="18"/>
                <w:rtl w:val="1"/>
              </w:rPr>
              <w:t>{{#EACH:key}} … {{/EACH}}</w:t>
            </w:r>
          </w:p>
        </w:tc>
        <w:tc>
          <w:tcPr>
            <w:tcW w:type="dxa" w:w="6048"/>
          </w:tcPr>
          <w:p>
            <w:pPr>
              <w:spacing w:after="40"/>
              <w:bidi w:val="1"/>
            </w:pPr>
            <w:r>
              <w:rPr>
                <w:rFonts w:cs="Segoe UI" w:ascii="Segoe UI" w:hAnsi="Segoe UI"/>
                <w:sz w:val="18"/>
                <w:rtl w:val="1"/>
              </w:rPr>
              <w:t>يكرّر كل ما بين العلامتين مرة لكل سطر من تلك المجموعة. وداخله تمثّل ‎{{FIELD:Column}}‎ خلية السطر الحالي، ويتبع جدول المجموعة التفصيلية أباه.</w:t>
            </w:r>
          </w:p>
        </w:tc>
      </w:tr>
      <w:tr>
        <w:tc>
          <w:tcPr>
            <w:tcW w:type="dxa" w:w="2880"/>
            <w:shd w:val="clear" w:fill="F4F5FA"/>
          </w:tcPr>
          <w:p>
            <w:pPr>
              <w:spacing w:after="40"/>
              <w:bidi w:val="1"/>
            </w:pPr>
            <w:r>
              <w:rPr>
                <w:rFonts w:cs="Segoe UI" w:ascii="Segoe UI" w:hAnsi="Segoe UI"/>
                <w:sz w:val="18"/>
                <w:rtl w:val="1"/>
              </w:rPr>
              <w:t>{{#IFANY:key}}, {{#IFEMPTY:key}}</w:t>
            </w:r>
          </w:p>
        </w:tc>
        <w:tc>
          <w:tcPr>
            <w:tcW w:type="dxa" w:w="6048"/>
            <w:shd w:val="clear" w:fill="F4F5FA"/>
          </w:tcPr>
          <w:p>
            <w:pPr>
              <w:spacing w:after="40"/>
              <w:bidi w:val="1"/>
            </w:pPr>
            <w:r>
              <w:rPr>
                <w:rFonts w:cs="Segoe UI" w:ascii="Segoe UI" w:hAnsi="Segoe UI"/>
                <w:sz w:val="18"/>
                <w:rtl w:val="1"/>
              </w:rPr>
              <w:t>يُبقي كتلة كاملة أو يحذفها بحسب ما إذا أعادت المجموعة نتائج — فيمكن للقسم الفارغ أن يخفي عنوانه أيضًا.</w:t>
            </w:r>
          </w:p>
        </w:tc>
      </w:tr>
      <w:tr>
        <w:tc>
          <w:tcPr>
            <w:tcW w:type="dxa" w:w="2880"/>
          </w:tcPr>
          <w:p>
            <w:pPr>
              <w:spacing w:after="40"/>
              <w:bidi w:val="1"/>
            </w:pPr>
            <w:r>
              <w:rPr>
                <w:rFonts w:cs="Segoe UI" w:ascii="Segoe UI" w:hAnsi="Segoe UI"/>
                <w:sz w:val="18"/>
                <w:rtl w:val="1"/>
              </w:rPr>
              <w:t>{{REPORT_NAME}}, {{GENERATED_AT}}, {{@parameter}}</w:t>
            </w:r>
          </w:p>
        </w:tc>
        <w:tc>
          <w:tcPr>
            <w:tcW w:type="dxa" w:w="6048"/>
          </w:tcPr>
          <w:p>
            <w:pPr>
              <w:spacing w:after="40"/>
              <w:bidi w:val="1"/>
            </w:pPr>
            <w:r>
              <w:rPr>
                <w:rFonts w:cs="Segoe UI" w:ascii="Segoe UI" w:hAnsi="Segoe UI"/>
                <w:sz w:val="18"/>
                <w:rtl w:val="1"/>
              </w:rPr>
              <w:t>اسم التقرير ووقت إنتاجه وأي معيار بحث أدخله القارئ.</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ضع العلامة كنص عادي أو داخل خلية جدول. أما العلامة داخل مربع نص في Word فتُترك كما هي ويُنبَّه إليها عند الرفع — إذ لا تُعبَّأ مربعات النص.</w:t>
            </w:r>
          </w:p>
        </w:tc>
      </w:tr>
    </w:tbl>
    <w:p>
      <w:pPr>
        <w:bidi w:val="1"/>
      </w:pPr>
    </w:p>
    <w:p>
      <w:pPr>
        <w:pStyle w:val="Heading2"/>
        <w:bidi w:val="1"/>
      </w:pPr>
      <w:r>
        <w:rPr>
          <w:rFonts w:cs="Segoe UI" w:ascii="Segoe UI" w:hAnsi="Segoe UI"/>
          <w:rtl w:val="1"/>
        </w:rPr>
        <w:t>٧.٦ تصدير التقرير</w:t>
      </w:r>
    </w:p>
    <w:p>
      <w:pPr>
        <w:bidi w:val="1"/>
      </w:pPr>
      <w:r>
        <w:rPr>
          <w:rFonts w:cs="Segoe UI" w:ascii="Segoe UI" w:hAnsi="Segoe UI"/>
          <w:b w:val="0"/>
          <w:i w:val="0"/>
          <w:rtl w:val="1"/>
        </w:rPr>
        <w:t>يستخدم كلٌّ من Word وPDF القالب — فملف PDF هو المستند نفسه بعد التحويل، فيُطبع ما نسّقته تمامًا. أما Excel فيكتب ورقة لكل مجموعة بيانات، ويُبقي CSV وJSON المجموعات منفصلة بدل دمجها معًا.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أن تُسمح الصيغة مرتين: أن يدرجها التقرير، وأن يحمل دورك صلاحية التصدير المقابلة. ولا تعرض القائمة إلا ما يجتاز الشرطين.</w:t>
            </w:r>
          </w:p>
        </w:tc>
      </w:tr>
    </w:tbl>
    <w:p>
      <w:pPr>
        <w:bidi w:val="1"/>
      </w:pPr>
    </w:p>
    <w:p>
      <w:pPr>
        <w:pStyle w:val="Heading2"/>
        <w:bidi w:val="1"/>
      </w:pPr>
      <w:r>
        <w:rPr>
          <w:rFonts w:cs="Segoe UI" w:ascii="Segoe UI" w:hAnsi="Segoe UI"/>
          <w:rtl w:val="1"/>
        </w:rPr>
        <w:t>٧.٧ تسليم التقرير وفق جدولة</w:t>
      </w:r>
    </w:p>
    <w:p>
      <w:pPr>
        <w:bidi w:val="1"/>
      </w:pPr>
      <w:r>
        <w:rPr>
          <w:rFonts w:cs="Segoe UI" w:ascii="Segoe UI" w:hAnsi="Segoe UI"/>
          <w:b w:val="0"/>
          <w:i w:val="0"/>
          <w:rtl w:val="1"/>
        </w:rPr>
        <w:t>يمكن للمهمة المجدولة أن تحمل تقريرًا تمامًا كما تحمل استعلامًا: أضف عنصرًا، واختر «تقرير» بدل «استعلام»، ثم حدّده وأعطِ معايير بحثه قيمًا ثابتة. ويُكتب الملف في مجلد مخرجات المهمة وفق الجدولة التي تضبطها — انظر الفصل بعد القادم.</w:t>
      </w:r>
    </w:p>
    <w:p>
      <w:pPr>
        <w:pStyle w:val="Heading2"/>
        <w:bidi w:val="1"/>
      </w:pPr>
      <w:r>
        <w:rPr>
          <w:rFonts w:cs="Segoe UI" w:ascii="Segoe UI" w:hAnsi="Segoe UI"/>
          <w:rtl w:val="1"/>
        </w:rPr>
        <w:t>٧.٨ مَن يمكنه فتح التقرير</w:t>
      </w:r>
    </w:p>
    <w:p>
      <w:pPr>
        <w:bidi w:val="1"/>
      </w:pPr>
      <w:r>
        <w:rPr>
          <w:rFonts w:cs="Segoe UI" w:ascii="Segoe UI" w:hAnsi="Segoe UI"/>
          <w:b w:val="0"/>
          <w:i w:val="0"/>
          <w:rtl w:val="1"/>
        </w:rPr>
        <w:t>تُمنح الصلاحية بالطرق الثلاث نفسها المتّبعة مع الاستعلامات — بالدور أو بمجموعة المستخدمين أو لمستخدمين محدّدين — كما تصل صلاحية مجموعة الاستعلامات الحاوية إلى التقرير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صلاحية التقرير. والوصول إلى التقرير ليس سوى البوابة الخارجية.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الوصول إلى التقرير لا يمنح إطلاقًا صلاحية الاستعلامات التي بداخله. فعند التشغيل يُفحص استعلام كل مجموعة بيانات على حدة، وتُرفض المجموعة التي ما كان القارئ ليستطيع تشغيلها بنفسه ويُنبَّه إلى ذلك — بينما يُنتج باقي التقرير. ولذلك لا يمكن أن يصبح التقرير طريقًا للالتفاف على صلاحيات الاستعلامات.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«الاستعلامات»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0-query-groups.png"/>
                    <pic:cNvPicPr/>
                  </pic:nvPicPr>
                  <pic:blipFill>
                    <a:blip r:embed="rId4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32.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21-query-group-create.png"/>
                    <pic:cNvPicPr/>
                  </pic:nvPicPr>
                  <pic:blipFill>
                    <a:blip r:embed="rId4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33.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٩.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٩.١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5-query-access-roles.png"/>
                    <pic:cNvPicPr/>
                  </pic:nvPicPr>
                  <pic:blipFill>
                    <a:blip r:embed="rId4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34.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6-query-access-user-groups.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17-query-access-users.png"/>
                    <pic:cNvPicPr/>
                  </pic:nvPicPr>
                  <pic:blipFill>
                    <a:blip r:embed="rId4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36. تبويب المستخدمين، لمنح الاستعلام لأشخاص بأعيانهم.</w:t>
      </w:r>
    </w:p>
    <w:p>
      <w:pPr>
        <w:pStyle w:val="Heading2"/>
        <w:bidi w:val="1"/>
      </w:pPr>
      <w:r>
        <w:rPr>
          <w:rFonts w:cs="Segoe UI" w:ascii="Segoe UI" w:hAnsi="Segoe UI"/>
          <w:rtl w:val="1"/>
        </w:rPr>
        <w:t>٩.٢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22-query-group-acces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إدارة صلاحيات المجموعة.</w:t>
      </w:r>
    </w:p>
    <w:p>
      <w:pPr>
        <w:pStyle w:val="Heading2"/>
        <w:bidi w:val="1"/>
      </w:pPr>
      <w:r>
        <w:rPr>
          <w:rFonts w:cs="Segoe UI" w:ascii="Segoe UI" w:hAnsi="Segoe UI"/>
          <w:rtl w:val="1"/>
        </w:rPr>
        <w:t>٩.٣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١٠.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١٠.١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30-scheduled-tasks.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١٠.٢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9" name="Picture 39"/>
            <wp:cNvGraphicFramePr>
              <a:graphicFrameLocks noChangeAspect="1"/>
            </wp:cNvGraphicFramePr>
            <a:graphic>
              <a:graphicData uri="http://schemas.openxmlformats.org/drawingml/2006/picture">
                <pic:pic>
                  <pic:nvPicPr>
                    <pic:cNvPr id="0" name="31-scheduled-task-create.png"/>
                    <pic:cNvPicPr/>
                  </pic:nvPicPr>
                  <pic:blipFill>
                    <a:blip r:embed="rId47"/>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39.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والمعيار الذي يستقبله، وقيمة البداية: يمرّر كل تشغيل أعلى مفتاح من التشغيل السابق إلى ذلك المعيار،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معايير البحث — </w:t>
      </w:r>
      <w:r>
        <w:rPr>
          <w:rFonts w:cs="Segoe UI" w:ascii="Segoe UI" w:hAnsi="Segoe UI"/>
          <w:rtl w:val="1"/>
        </w:rPr>
        <w:t>قيم ثابتة لمعايير بحث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40" name="Picture 40"/>
            <wp:cNvGraphicFramePr>
              <a:graphicFrameLocks noChangeAspect="1"/>
            </wp:cNvGraphicFramePr>
            <a:graphic>
              <a:graphicData uri="http://schemas.openxmlformats.org/drawingml/2006/picture">
                <pic:pic>
                  <pic:nvPicPr>
                    <pic:cNvPr id="0" name="32-scheduled-task-edit.png"/>
                    <pic:cNvPicPr/>
                  </pic:nvPicPr>
                  <pic:blipFill>
                    <a:blip r:embed="rId48"/>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40. مهمة قائمة، وتظهر فيها مُشغِّلاتها واستعلاماتها وقيم معايير بحثها.</w:t>
      </w:r>
    </w:p>
    <w:p>
      <w:pPr>
        <w:pStyle w:val="Heading2"/>
        <w:bidi w:val="1"/>
      </w:pPr>
      <w:r>
        <w:rPr>
          <w:rFonts w:cs="Segoe UI" w:ascii="Segoe UI" w:hAnsi="Segoe UI"/>
          <w:rtl w:val="1"/>
        </w:rPr>
        <w:t>١٠.٣ مَن يرى المهمة</w:t>
      </w:r>
    </w:p>
    <w:p>
      <w:pPr>
        <w:bidi w:val="1"/>
      </w:pPr>
      <w:r>
        <w:rPr>
          <w:rFonts w:cs="Segoe UI" w:ascii="Segoe UI" w:hAnsi="Segoe UI"/>
          <w:b w:val="0"/>
          <w:i w:val="0"/>
          <w:rtl w:val="1"/>
        </w:rPr>
        <w:t>يُدار الوصول إلى المهمة في صفحة خاصة بها، يُوصل إليها 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لمستخدم مُسمّى.</w:t>
      </w:r>
    </w:p>
    <w:p>
      <w:pPr>
        <w:pStyle w:val="ListBullet"/>
        <w:bidi w:val="1"/>
      </w:pPr>
      <w:r>
        <w:rPr>
          <w:rFonts w:cs="Segoe UI" w:ascii="Segoe UI" w:hAnsi="Segoe UI"/>
          <w:b/>
          <w:rtl w:val="1"/>
        </w:rPr>
        <w:t xml:space="preserve">العرض — </w:t>
      </w:r>
      <w:r>
        <w:rPr>
          <w:rFonts w:cs="Segoe UI" w:ascii="Segoe UI" w:hAnsi="Segoe UI"/>
          <w:rtl w:val="1"/>
        </w:rPr>
        <w:t>تظهر المهمة في صفحة «المهام المجدولة» لدى ذلك الشخص، مع عمليات تشغيلها وحالاتها وأسماء الملفات التي كتبها كل تشغيل.</w:t>
      </w:r>
    </w:p>
    <w:p>
      <w:pPr>
        <w:pStyle w:val="ListBullet"/>
        <w:bidi w:val="1"/>
      </w:pPr>
      <w:r>
        <w:rPr>
          <w:rFonts w:cs="Segoe UI" w:ascii="Segoe UI" w:hAnsi="Segoe UI"/>
          <w:b/>
          <w:rtl w:val="1"/>
        </w:rPr>
        <w:t xml:space="preserve">التنزيل — </w:t>
      </w:r>
      <w:r>
        <w:rPr>
          <w:rFonts w:cs="Segoe UI" w:ascii="Segoe UI" w:hAnsi="Segoe UI"/>
          <w:rtl w:val="1"/>
        </w:rPr>
        <w:t>وهو الحق الأضيق، ويُختار من المشاهدين في التبويب نفسه. وبدونه يرى المشاهد أن ملفًا قد أُنتج ولكنه لا يستطيع جلبه.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4-scheduled-task-access-roles.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«إدارة الوصول إلى المهمة»، تبويب الأدوار. يرى المهمة كل من يحمل دورًا مدرجًا؛ وتختار القائمة الثانية أيٌ من تلك الأدوار يمكنها أيضًا تنزيل الملفات.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5-scheduled-task-access-user-group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تبويب مجموعات المستخدمين. تُقرأ العضوية لحظة التحقق، فإضافة شخص إلى المجموعة تمنحه المهمة فورًا، وإخراجه يسلبها منه فورًا.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6-scheduled-task-access-users.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تبويب المستخدمين، لمنح شخص واحد المهمة دون منحها لدوره أو مجموعته بأكملها.</w:t>
      </w:r>
    </w:p>
    <w:p>
      <w:pPr>
        <w:bidi w:val="1"/>
      </w:pPr>
      <w:r>
        <w:rPr>
          <w:rFonts w:cs="Segoe UI" w:ascii="Segoe UI" w:hAnsi="Segoe UI"/>
          <w:b w:val="0"/>
          <w:i w:val="0"/>
          <w:rtl w:val="1"/>
        </w:rPr>
        <w:t>يُحفَظ كل تبويب على حدة ولا يستبدل إلا قائمته، فلا يستطيع مسؤولان يعملان على تبويبين مختلفين أن يطمس أحدهما عمل الآخر. والمنح تتجمّع ولا يلغي بعضها بعضًا: من بلغه منحان احتفظ بالأوسع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 دون الملفات.</w:t>
      </w:r>
    </w:p>
    <w:p>
      <w:pPr>
        <w:pStyle w:val="Heading2"/>
        <w:bidi w:val="1"/>
      </w:pPr>
      <w:r>
        <w:rPr>
          <w:rFonts w:cs="Segoe UI" w:ascii="Segoe UI" w:hAnsi="Segoe UI"/>
          <w:rtl w:val="1"/>
        </w:rPr>
        <w:t>١٠.٤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33-scheduled-task-run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١١.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١١.١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1-user-managemen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46" name="Picture 46"/>
            <wp:cNvGraphicFramePr>
              <a:graphicFrameLocks noChangeAspect="1"/>
            </wp:cNvGraphicFramePr>
            <a:graphic>
              <a:graphicData uri="http://schemas.openxmlformats.org/drawingml/2006/picture">
                <pic:pic>
                  <pic:nvPicPr>
                    <pic:cNvPr id="0" name="52-user-create-form.png"/>
                    <pic:cNvPicPr/>
                  </pic:nvPicPr>
                  <pic:blipFill>
                    <a:blip r:embed="rId5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46.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١١.٢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a-user-groups.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2b-user-group-create.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١١.٣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5-ad-users-search.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6-ad-users-departments.png"/>
                    <pic:cNvPicPr/>
                  </pic:nvPicPr>
                  <pic:blipFill>
                    <a:blip r:embed="rId5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7-ad-users-imported.png"/>
                    <pic:cNvPicPr/>
                  </pic:nvPicPr>
                  <pic:blipFill>
                    <a:blip r:embed="rId5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١٢.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3-database-users.png"/>
                    <pic:cNvPicPr/>
                  </pic:nvPicPr>
                  <pic:blipFill>
                    <a:blip r:embed="rId6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4-database-user-form.png"/>
                    <pic:cNvPicPr/>
                  </pic:nvPicPr>
                  <pic:blipFill>
                    <a:blip r:embed="rId6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١٣.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١٣.١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0-execution-logs.png"/>
                    <pic:cNvPicPr/>
                  </pic:nvPicPr>
                  <pic:blipFill>
                    <a:blip r:embed="rId6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54. سجلات التنفيذ. يسجّل كل صف الاستعلام ونوعه ومن نفّذه ومعايير البحث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ومعايير البحث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١٣.٢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41-system-audit.png"/>
                    <pic:cNvPicPr/>
                  </pic:nvPicPr>
                  <pic:blipFill>
                    <a:blip r:embed="rId6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92-auditor-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١٤.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randing-dialog.png"/>
                    <pic:cNvPicPr/>
                  </pic:nvPicPr>
                  <pic:blipFill>
                    <a:blip r:embed="rId6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57.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8b-branding-dialog-name.png"/>
                    <pic:cNvPicPr/>
                  </pic:nvPicPr>
                  <pic:blipFill>
                    <a:blip r:embed="rId6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58.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١٥.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١٥.١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0-system-settings.png"/>
                    <pic:cNvPicPr/>
                  </pic:nvPicPr>
                  <pic:blipFill>
                    <a:blip r:embed="rId6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59.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١٥.٢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2802695" cy="6949438"/>
            <wp:docPr id="60" name="Picture 60"/>
            <wp:cNvGraphicFramePr>
              <a:graphicFrameLocks noChangeAspect="1"/>
            </wp:cNvGraphicFramePr>
            <a:graphic>
              <a:graphicData uri="http://schemas.openxmlformats.org/drawingml/2006/picture">
                <pic:pic>
                  <pic:nvPicPr>
                    <pic:cNvPr id="0" name="51-permissions.png"/>
                    <pic:cNvPicPr/>
                  </pic:nvPicPr>
                  <pic:blipFill>
                    <a:blip r:embed="rId68"/>
                    <a:stretch>
                      <a:fillRect/>
                    </a:stretch>
                  </pic:blipFill>
                  <pic:spPr>
                    <a:xfrm>
                      <a:off x="0" y="0"/>
                      <a:ext cx="2802695" cy="6949438"/>
                    </a:xfrm>
                    <a:prstGeom prst="rect"/>
                  </pic:spPr>
                </pic:pic>
              </a:graphicData>
            </a:graphic>
          </wp:inline>
        </w:drawing>
      </w:r>
    </w:p>
    <w:p>
      <w:pPr>
        <w:spacing w:after="240"/>
        <w:jc w:val="center"/>
        <w:bidi w:val="1"/>
      </w:pPr>
      <w:r>
        <w:rPr>
          <w:rFonts w:cs="Segoe UI" w:ascii="Segoe UI" w:hAnsi="Segoe UI"/>
          <w:i/>
          <w:color w:val="5B616E"/>
          <w:sz w:val="18"/>
          <w:rtl w:val="1"/>
        </w:rPr>
        <w:t>شكل 60.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١٦.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«الاستعلامات»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١٧.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69"/>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