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Bayan</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23 August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Bayan,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Chapters 5 and 7 are the day-to-day guide for Users — running queries, and running reports. Chapters 6 and 8 to 12 are administration. Chapter 13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Bayan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branch.</w:t>
      </w:r>
    </w:p>
    <w:p>
      <w:pPr>
        <w:pStyle w:val="ListNumber"/>
      </w:pPr>
      <w:r>
        <w:t>The administrator decides who may run it: by role, by user group,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User group</w:t>
            </w:r>
          </w:p>
        </w:tc>
        <w:tc>
          <w:tcPr>
            <w:tcW w:type="dxa" w:w="7200"/>
            <w:shd w:val="clear" w:fill="F4F5FA"/>
          </w:tcPr>
          <w:p>
            <w:pPr>
              <w:spacing w:after="40"/>
            </w:pPr>
            <w:r>
              <w:rPr>
                <w:sz w:val="18"/>
              </w:rPr>
              <w:t>A named list of people, kept inside this application. Granting a query to a user group grants it to every member. Not an Active Directory group, and not the same thing as a query group.</w:t>
            </w:r>
          </w:p>
        </w:tc>
      </w:tr>
      <w:tr>
        <w:tc>
          <w:tcPr>
            <w:tcW w:type="dxa" w:w="2304"/>
          </w:tcPr>
          <w:p>
            <w:pPr>
              <w:spacing w:after="40"/>
            </w:pPr>
            <w:r>
              <w:rPr>
                <w:sz w:val="18"/>
              </w:rPr>
              <w:t>Database connection</w:t>
            </w:r>
          </w:p>
        </w:tc>
        <w:tc>
          <w:tcPr>
            <w:tcW w:type="dxa" w:w="7200"/>
          </w:tcPr>
          <w:p>
            <w:pPr>
              <w:spacing w:after="40"/>
            </w:pPr>
            <w:r>
              <w:rPr>
                <w:sz w:val="18"/>
              </w:rPr>
              <w:t>A named set of database credentials (“DB User”) that a query runs through. Passwords are encrypted at rest.</w:t>
            </w:r>
          </w:p>
        </w:tc>
      </w:tr>
      <w:tr>
        <w:tc>
          <w:tcPr>
            <w:tcW w:type="dxa" w:w="2304"/>
            <w:shd w:val="clear" w:fill="F4F5FA"/>
          </w:tcPr>
          <w:p>
            <w:pPr>
              <w:spacing w:after="40"/>
            </w:pPr>
            <w:r>
              <w:rPr>
                <w:sz w:val="18"/>
              </w:rPr>
              <w:t>Execution</w:t>
            </w:r>
          </w:p>
        </w:tc>
        <w:tc>
          <w:tcPr>
            <w:tcW w:type="dxa" w:w="7200"/>
            <w:shd w:val="clear" w:fill="F4F5FA"/>
          </w:tcPr>
          <w:p>
            <w:pPr>
              <w:spacing w:after="40"/>
            </w:pPr>
            <w:r>
              <w:rPr>
                <w:sz w:val="18"/>
              </w:rPr>
              <w:t>One run of one query by one person, recorded in the execution log.</w:t>
            </w:r>
          </w:p>
        </w:tc>
      </w:tr>
      <w:tr>
        <w:tc>
          <w:tcPr>
            <w:tcW w:type="dxa" w:w="2304"/>
          </w:tcPr>
          <w:p>
            <w:pPr>
              <w:spacing w:after="40"/>
            </w:pPr>
            <w:r>
              <w:rPr>
                <w:sz w:val="18"/>
              </w:rPr>
              <w:t>Scheduled task</w:t>
            </w:r>
          </w:p>
        </w:tc>
        <w:tc>
          <w:tcPr>
            <w:tcW w:type="dxa" w:w="7200"/>
          </w:tcPr>
          <w:p>
            <w:pPr>
              <w:spacing w:after="40"/>
            </w:pPr>
            <w:r>
              <w:rPr>
                <w:sz w:val="18"/>
              </w:rPr>
              <w:t>One or more queries run unattended on a timetable, with the results written to files on the server.</w:t>
            </w:r>
          </w:p>
        </w:tc>
      </w:tr>
      <w:tr>
        <w:tc>
          <w:tcPr>
            <w:tcW w:type="dxa" w:w="2304"/>
            <w:shd w:val="clear" w:fill="F4F5FA"/>
          </w:tcPr>
          <w:p>
            <w:pPr>
              <w:spacing w:after="40"/>
            </w:pPr>
            <w:r>
              <w:rPr>
                <w:sz w:val="18"/>
              </w:rPr>
              <w:t>Role</w:t>
            </w:r>
          </w:p>
        </w:tc>
        <w:tc>
          <w:tcPr>
            <w:tcW w:type="dxa" w:w="7200"/>
            <w:shd w:val="clear" w:fill="F4F5FA"/>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r>
        <w:rPr>
          <w:b w:val="0"/>
          <w:i w:val="0"/>
        </w:rPr>
        <w:t>Where the administrator has enabled Windows single sign-on, none of that is needed: on a computer joined to the organisation's domain the page signs you in as it opens and you never see the form. When it cannot — you are on a machine outside the domain, or you have just signed out — the form appears as normal and you sign in by hand.</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permissions actually open, taken in this order: My Queries if you may run queries; then Manage Queries, the execution logs, the system audit trail, Users, User Groups, Scheduled Tasks, and Settings. If none of those are open to you, you land on My Schedules.</w:t>
      </w:r>
    </w:p>
    <w:p>
      <w:r>
        <w:rPr>
          <w:b w:val="0"/>
          <w:i w:val="0"/>
        </w:rPr>
        <w:t>In practice that puts an administrator on My Queries — the Admin role holds “Run queries” like anyone else — an Access Manager on Manage Queries, an Auditor on the execution logs, and a User on My Queries.</w:t>
      </w:r>
    </w:p>
    <w:p>
      <w:pPr>
        <w:pStyle w:val="Heading2"/>
      </w:pPr>
      <w:r>
        <w:t>3.2 The main window</w:t>
      </w:r>
    </w:p>
    <w:p>
      <w:r>
        <w:rPr>
          <w:b w:val="0"/>
          <w:i w:val="0"/>
        </w:rPr>
        <w:t>The bar across the top is the whole navigation. On one side is the site logo (or the site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History</w:t>
            </w:r>
          </w:p>
        </w:tc>
        <w:tc>
          <w:tcPr>
            <w:tcW w:type="dxa" w:w="4176"/>
            <w:shd w:val="clear" w:fill="F4F5FA"/>
          </w:tcPr>
          <w:p>
            <w:pPr>
              <w:spacing w:after="40"/>
            </w:pPr>
            <w:r>
              <w:rPr>
                <w:sz w:val="18"/>
              </w:rPr>
              <w:t>Your own execution history</w:t>
            </w:r>
          </w:p>
        </w:tc>
        <w:tc>
          <w:tcPr>
            <w:tcW w:type="dxa" w:w="3312"/>
            <w:shd w:val="clear" w:fill="F4F5FA"/>
          </w:tcPr>
          <w:p>
            <w:pPr>
              <w:spacing w:after="40"/>
            </w:pPr>
            <w:r>
              <w:rPr>
                <w:sz w:val="18"/>
              </w:rPr>
              <w:t>Everyone</w:t>
            </w:r>
          </w:p>
        </w:tc>
      </w:tr>
      <w:tr>
        <w:tc>
          <w:tcPr>
            <w:tcW w:type="dxa" w:w="2016"/>
          </w:tcPr>
          <w:p>
            <w:pPr>
              <w:spacing w:after="40"/>
            </w:pPr>
            <w:r>
              <w:rPr>
                <w:b/>
                <w:sz w:val="18"/>
              </w:rPr>
              <w:t>Schedules</w:t>
            </w:r>
          </w:p>
        </w:tc>
        <w:tc>
          <w:tcPr>
            <w:tcW w:type="dxa" w:w="4176"/>
          </w:tcPr>
          <w:p>
            <w:pPr>
              <w:spacing w:after="40"/>
            </w:pPr>
            <w:r>
              <w:rPr>
                <w:sz w:val="18"/>
              </w:rPr>
              <w:t>Status of scheduled tasks you were named on</w:t>
            </w:r>
          </w:p>
        </w:tc>
        <w:tc>
          <w:tcPr>
            <w:tcW w:type="dxa" w:w="3312"/>
          </w:tcPr>
          <w:p>
            <w:pPr>
              <w:spacing w:after="40"/>
            </w:pPr>
            <w:r>
              <w:rPr>
                <w:sz w:val="18"/>
              </w:rPr>
              <w:t>Users (hidden for Admin and Auditor, who use the full Scheduled Tasks page)</w:t>
            </w:r>
          </w:p>
        </w:tc>
      </w:tr>
      <w:tr>
        <w:tc>
          <w:tcPr>
            <w:tcW w:type="dxa" w:w="2016"/>
            <w:shd w:val="clear" w:fill="F4F5FA"/>
          </w:tcPr>
          <w:p>
            <w:pPr>
              <w:spacing w:after="40"/>
            </w:pPr>
            <w:r>
              <w:rPr>
                <w:b/>
                <w:sz w:val="18"/>
              </w:rPr>
              <w:t>Queries</w:t>
            </w:r>
          </w:p>
        </w:tc>
        <w:tc>
          <w:tcPr>
            <w:tcW w:type="dxa" w:w="4176"/>
            <w:shd w:val="clear" w:fill="F4F5FA"/>
          </w:tcPr>
          <w:p>
            <w:pPr>
              <w:spacing w:after="40"/>
            </w:pPr>
            <w:r>
              <w:rPr>
                <w:sz w:val="18"/>
              </w:rPr>
              <w:t>Manage Queries, Query Groups, Schedules</w:t>
            </w:r>
          </w:p>
        </w:tc>
        <w:tc>
          <w:tcPr>
            <w:tcW w:type="dxa" w:w="3312"/>
            <w:shd w:val="clear" w:fill="F4F5FA"/>
          </w:tcPr>
          <w:p>
            <w:pPr>
              <w:spacing w:after="40"/>
            </w:pPr>
            <w:r>
              <w:rPr>
                <w:sz w:val="18"/>
              </w:rPr>
              <w:t>Admin, Access Manager, Auditor (each sees only its own entries)</w:t>
            </w:r>
          </w:p>
        </w:tc>
      </w:tr>
      <w:tr>
        <w:tc>
          <w:tcPr>
            <w:tcW w:type="dxa" w:w="2016"/>
          </w:tcPr>
          <w:p>
            <w:pPr>
              <w:spacing w:after="40"/>
            </w:pPr>
            <w:r>
              <w:rPr>
                <w:b/>
                <w:sz w:val="18"/>
              </w:rPr>
              <w:t>Users &amp; Access</w:t>
            </w:r>
          </w:p>
        </w:tc>
        <w:tc>
          <w:tcPr>
            <w:tcW w:type="dxa" w:w="4176"/>
          </w:tcPr>
          <w:p>
            <w:pPr>
              <w:spacing w:after="40"/>
            </w:pPr>
            <w:r>
              <w:rPr>
                <w:sz w:val="18"/>
              </w:rPr>
              <w:t>Users, User Groups, AD Users, DB Users</w:t>
            </w:r>
          </w:p>
        </w:tc>
        <w:tc>
          <w:tcPr>
            <w:tcW w:type="dxa" w:w="3312"/>
          </w:tcPr>
          <w:p>
            <w:pPr>
              <w:spacing w:after="40"/>
            </w:pPr>
            <w:r>
              <w:rPr>
                <w:sz w:val="18"/>
              </w:rPr>
              <w:t>Admin, Access Manager</w:t>
            </w:r>
          </w:p>
        </w:tc>
      </w:tr>
      <w:tr>
        <w:tc>
          <w:tcPr>
            <w:tcW w:type="dxa" w:w="2016"/>
            <w:shd w:val="clear" w:fill="F4F5FA"/>
          </w:tcPr>
          <w:p>
            <w:pPr>
              <w:spacing w:after="40"/>
            </w:pPr>
            <w:r>
              <w:rPr>
                <w:b/>
                <w:sz w:val="18"/>
              </w:rPr>
              <w:t>Audit</w:t>
            </w:r>
          </w:p>
        </w:tc>
        <w:tc>
          <w:tcPr>
            <w:tcW w:type="dxa" w:w="4176"/>
            <w:shd w:val="clear" w:fill="F4F5FA"/>
          </w:tcPr>
          <w:p>
            <w:pPr>
              <w:spacing w:after="40"/>
            </w:pPr>
            <w:r>
              <w:rPr>
                <w:sz w:val="18"/>
              </w:rPr>
              <w:t>Logs, System Audit</w:t>
            </w:r>
          </w:p>
        </w:tc>
        <w:tc>
          <w:tcPr>
            <w:tcW w:type="dxa" w:w="3312"/>
            <w:shd w:val="clear" w:fill="F4F5FA"/>
          </w:tcPr>
          <w:p>
            <w:pPr>
              <w:spacing w:after="40"/>
            </w:pPr>
            <w:r>
              <w:rPr>
                <w:sz w:val="18"/>
              </w:rPr>
              <w:t>Admin, Auditor</w:t>
            </w:r>
          </w:p>
        </w:tc>
      </w:tr>
      <w:tr>
        <w:tc>
          <w:tcPr>
            <w:tcW w:type="dxa" w:w="2016"/>
          </w:tcPr>
          <w:p>
            <w:pPr>
              <w:spacing w:after="40"/>
            </w:pPr>
            <w:r>
              <w:rPr>
                <w:b/>
                <w:sz w:val="18"/>
              </w:rPr>
              <w:t>Account</w:t>
            </w:r>
          </w:p>
        </w:tc>
        <w:tc>
          <w:tcPr>
            <w:tcW w:type="dxa" w:w="4176"/>
          </w:tcPr>
          <w:p>
            <w:pPr>
              <w:spacing w:after="40"/>
            </w:pPr>
            <w:r>
              <w:rPr>
                <w:sz w:val="18"/>
              </w:rPr>
              <w:t>Language, theme, Settings, Website branding, Logout</w:t>
            </w:r>
          </w:p>
        </w:tc>
        <w:tc>
          <w:tcPr>
            <w:tcW w:type="dxa" w:w="3312"/>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An Access Manager sees Users and User Groups; AD Users and DB Users are administrator-only. AD Users also disappears entirely when the Active Directory features are switched off in Settings.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branding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15).</w:t>
      </w:r>
    </w:p>
    <w:p>
      <w:pPr>
        <w:pStyle w:val="ListBullet"/>
      </w:pPr>
      <w:r>
        <w:rPr>
          <w:b/>
        </w:rPr>
        <w:t xml:space="preserve">Website branding — </w:t>
      </w:r>
      <w:r>
        <w:t>set the logo, the site name and the browser tab icon (administrators only, see Chapter 14).</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roles that ship with the system</w:t>
      </w:r>
    </w:p>
    <w:p>
      <w:r>
        <w:rPr>
          <w:b w:val="0"/>
          <w:i w:val="0"/>
        </w:rPr>
        <w:t>A role is a named set of permissions, and both parts are editable. Four roles are supplied; an administrator can add more, and can change what any of them may do on Settings → Permissions (Chapter 15). What follows is what each one holds out of the box, not a description of what it must always be.</w:t>
      </w:r>
    </w:p>
    <w:p>
      <w:r>
        <w:rPr>
          <w:b w:val="0"/>
          <w:i w:val="0"/>
        </w:rPr>
        <w:t>One account may hold several roles, and its permissions are the sum of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Holds no permission that changes anything, and none that runs a query.</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and user groups. Holds neither the permission to read a query's SQL nor to edit or run one.</w:t>
            </w:r>
          </w:p>
        </w:tc>
      </w:tr>
    </w:tbl>
    <w:p/>
    <w:p>
      <w:pPr>
        <w:pStyle w:val="Heading2"/>
      </w:pPr>
      <w:r>
        <w:t>4.2 The permission catalogue</w:t>
      </w:r>
    </w:p>
    <w:p>
      <w:r>
        <w:rPr>
          <w:b w:val="0"/>
          <w:i w:val="0"/>
        </w:rPr>
        <w:t>Every capability the system can grant, and which roles hold it when the system is first installed. A tick is a default, not a fact: all of these are editable on Settings → Permissions, and the Admin column cannot be changed at all.</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See the query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edit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Export and import query definitions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an individual query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Grant a query group</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query groups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user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users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user groups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user groups and set membership</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directory data</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Search and import from Active Directory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See every scheduled task</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run scheduled tasks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Download scheduled task files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Read execution logs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the system audit trail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the site logo, name and tab icon</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Change system settings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roles and permissions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r>
        <w:rPr>
          <w:b w:val="0"/>
          <w:i w:val="0"/>
        </w:rPr>
        <w:t>Three of these are worth reading twice. “See the query list” and “Read a query's SQL” are separate, which is what lets a role manage access without reading the queries. “Run queries” is what puts My Queries and History in the top bar at all. And “Manage roles and permissions” is the one that edits this table — grant it sparingly.</w:t>
      </w:r>
    </w:p>
    <w:p>
      <w:pPr>
        <w:pStyle w:val="Heading2"/>
      </w:pPr>
      <w:r>
        <w:t>4.3 Rules that hold whatever the matrix says</w:t>
      </w:r>
    </w:p>
    <w:p>
      <w:pPr>
        <w:pStyle w:val="Heading3"/>
      </w:pPr>
      <w:r>
        <w:t>Admin always holds everything</w:t>
      </w:r>
    </w:p>
    <w:p>
      <w:r>
        <w:rPr>
          <w:b w:val="0"/>
          <w:i w:val="0"/>
        </w:rPr>
        <w:t>The Admin column on the Permissions tab is shown but locked, and the role cannot be deleted. This is not a convenience: it is what prevents an installation from editing away the last account able to open that page. The server answers for Admin without consulting the matrix at all, so even a half-saved one leaves someone able to put it right.</w:t>
      </w:r>
    </w:p>
    <w:p>
      <w:pPr>
        <w:pStyle w:val="Heading3"/>
      </w:pPr>
      <w:r>
        <w:t>A role that cannot run queries grants none</w:t>
      </w:r>
    </w:p>
    <w:p>
      <w:r>
        <w:rPr>
          <w:b w:val="0"/>
          <w:i w:val="0"/>
        </w:rPr>
        <w:t>Every role appears in the access pickers, including ones you create. Assigning a query to a role that does not hold “Run queries” leaves it unrunnable: the server drops such roles when working out who may run what, so the assignment is inert rather than refused. Grant that permission first, or assign the query elsewhere.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audit trail.</w:t>
            </w:r>
          </w:p>
        </w:tc>
      </w:tr>
    </w:tbl>
    <w:p/>
    <w:p>
      <w:pPr>
        <w:pStyle w:val="Heading3"/>
      </w:pPr>
      <w:r>
        <w:t>Reading a query and reading its SQL are separate</w:t>
      </w:r>
    </w:p>
    <w:p>
      <w:r>
        <w:rPr>
          <w:b w:val="0"/>
          <w:i w:val="0"/>
        </w:rPr>
        <w:t>“See the query list” opens the list and the access pages; “Read a query's SQL” is what lets the text itself through. A role with the first and not the second — which is how Access Manager is set up — can decide who reaches a query without ever reading it. Exports carry the SQL, so they follow the export permission, not the list one.</w:t>
      </w:r>
    </w:p>
    <w:p>
      <w:pPr>
        <w:pStyle w:val="Heading3"/>
      </w:pPr>
      <w:r>
        <w:t>Nobody grants themselves</w:t>
      </w:r>
    </w:p>
    <w:p>
      <w:r>
        <w:rPr>
          <w:b w:val="0"/>
          <w:i w:val="0"/>
        </w:rPr>
        <w:t>A non-administrator cannot modify an account holding the Admin role, cannot grant that role, cannot edit their own roles, and cannot add their own account to a user group. The last two matter most: without them, anyone who manages permissions could hand themselves a capability and use it a moment later.</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Someone who can create users can still create a separate account and sign in as it. That is inherent in one role both creating users and controlling access — but unlike a self-grant it leaves an account and an audit entry behind.</w:t>
            </w:r>
          </w:p>
        </w:tc>
      </w:tr>
    </w:tbl>
    <w:p/>
    <w:p>
      <w:pPr>
        <w:pStyle w:val="Heading3"/>
      </w:pPr>
      <w:r>
        <w:t>Changes take effect immediately</w:t>
      </w:r>
    </w:p>
    <w:p>
      <w:r>
        <w:rPr>
          <w:b w:val="0"/>
          <w:i w:val="0"/>
        </w:rPr>
        <w:t>Permissions are read on every request, not taken from the token issued at sign-in. Revoking one stops the next click; nobody has to sign out and back in.</w:t>
      </w:r>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Queries (containing the read-only scheduled tasks) and Audit. My Queries and History are absent: the role can never be granted a query, so both pages could only ever be empty.</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branding.</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same applies to an Access Manager. Typing the address of one of those pages does not get around it — the application returns you to the page your role does have. An account holding a second role that does grant queries keeps both pages.</w:t>
            </w:r>
          </w:p>
        </w:tc>
      </w:tr>
    </w:tbl>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 — and that role holds “Run queries”.</w:t>
            </w:r>
          </w:p>
        </w:tc>
      </w:tr>
      <w:tr>
        <w:tc>
          <w:tcPr>
            <w:tcW w:type="dxa" w:w="2160"/>
            <w:shd w:val="clear" w:fill="F4F5FA"/>
          </w:tcPr>
          <w:p>
            <w:pPr>
              <w:spacing w:after="40"/>
            </w:pPr>
            <w:r>
              <w:rPr>
                <w:sz w:val="18"/>
              </w:rPr>
              <w:t>User group</w:t>
            </w:r>
          </w:p>
        </w:tc>
        <w:tc>
          <w:tcPr>
            <w:tcW w:type="dxa" w:w="7344"/>
            <w:shd w:val="clear" w:fill="F4F5FA"/>
          </w:tcPr>
          <w:p>
            <w:pPr>
              <w:spacing w:after="40"/>
            </w:pPr>
            <w:r>
              <w:rPr>
                <w:sz w:val="18"/>
              </w:rPr>
              <w:t>The query (or its group) is assigned to a user group the user belongs to.</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12). Both are checked on every run, not just when the page is opened.</w:t>
            </w:r>
          </w:p>
        </w:tc>
      </w:tr>
    </w:tbl>
    <w:p/>
    <w:p>
      <w:pPr>
        <w:pStyle w:val="Heading2"/>
      </w:pPr>
      <w:r>
        <w:t>4.6 Page-by-page permission reference</w:t>
      </w:r>
    </w:p>
    <w:p>
      <w:r>
        <w:rPr>
          <w:b w:val="0"/>
          <w:i w:val="0"/>
        </w:rPr>
        <w:t>Which capability opens each page. Roles are not named here on purpose — any role holding the capability opens the page, including one you created.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Capability needed</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Run queries</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Run queries, and the query must be assigned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Run queries</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Anyone a task viewer grant reaches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See the query list</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Create and edit queries</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Grant an individual query</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See the query list</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Create and edit query groups</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Grant a query group</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See every scheduled task</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Create and run scheduled tasks</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See every scheduled task</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Read execution logs</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Read the system audit trail</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Change system settings, or manage roles</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See the user list</w:t>
            </w:r>
          </w:p>
        </w:tc>
      </w:tr>
      <w:tr>
        <w:tc>
          <w:tcPr>
            <w:tcW w:type="dxa" w:w="2592"/>
            <w:shd w:val="clear" w:fill="F4F5FA"/>
          </w:tcPr>
          <w:p>
            <w:pPr>
              <w:spacing w:after="40"/>
            </w:pPr>
            <w:r>
              <w:rPr>
                <w:b/>
                <w:sz w:val="17"/>
              </w:rPr>
              <w:t>User Groups</w:t>
            </w:r>
          </w:p>
        </w:tc>
        <w:tc>
          <w:tcPr>
            <w:tcW w:type="dxa" w:w="3456"/>
            <w:shd w:val="clear" w:fill="F4F5FA"/>
          </w:tcPr>
          <w:p>
            <w:pPr>
              <w:spacing w:after="40"/>
            </w:pPr>
            <w:r>
              <w:rPr>
                <w:sz w:val="17"/>
              </w:rPr>
              <w:t>/admin/user-groups</w:t>
            </w:r>
          </w:p>
        </w:tc>
        <w:tc>
          <w:tcPr>
            <w:tcW w:type="dxa" w:w="3456"/>
            <w:shd w:val="clear" w:fill="F4F5FA"/>
          </w:tcPr>
          <w:p>
            <w:pPr>
              <w:spacing w:after="40"/>
            </w:pPr>
            <w:r>
              <w:rPr>
                <w:sz w:val="17"/>
              </w:rPr>
              <w:t>See user groups</w:t>
            </w:r>
          </w:p>
        </w:tc>
      </w:tr>
      <w:tr>
        <w:tc>
          <w:tcPr>
            <w:tcW w:type="dxa" w:w="2592"/>
          </w:tcPr>
          <w:p>
            <w:pPr>
              <w:spacing w:after="40"/>
            </w:pPr>
            <w:r>
              <w:rPr>
                <w:b/>
                <w:sz w:val="17"/>
              </w:rPr>
              <w:t>Create / edit user group</w:t>
            </w:r>
          </w:p>
        </w:tc>
        <w:tc>
          <w:tcPr>
            <w:tcW w:type="dxa" w:w="3456"/>
          </w:tcPr>
          <w:p>
            <w:pPr>
              <w:spacing w:after="40"/>
            </w:pPr>
            <w:r>
              <w:rPr>
                <w:sz w:val="17"/>
              </w:rPr>
              <w:t>/admin/user-groups/create, /edit/…</w:t>
            </w:r>
          </w:p>
        </w:tc>
        <w:tc>
          <w:tcPr>
            <w:tcW w:type="dxa" w:w="3456"/>
          </w:tcPr>
          <w:p>
            <w:pPr>
              <w:spacing w:after="40"/>
            </w:pPr>
            <w:r>
              <w:rPr>
                <w:sz w:val="17"/>
              </w:rPr>
              <w:t>Create user groups</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Search and import from AD</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Manage database connections</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4366687"/>
            <wp:docPr id="11" name="Picture 11"/>
            <wp:cNvGraphicFramePr>
              <a:graphicFrameLocks noChangeAspect="1"/>
            </wp:cNvGraphicFramePr>
            <a:graphic>
              <a:graphicData uri="http://schemas.openxmlformats.org/drawingml/2006/picture">
                <pic:pic>
                  <pic:nvPicPr>
                    <pic:cNvPr id="0" name="60-my-queries.png"/>
                    <pic:cNvPicPr/>
                  </pic:nvPicPr>
                  <pic:blipFill>
                    <a:blip r:embed="rId20"/>
                    <a:stretch>
                      <a:fillRect/>
                    </a:stretch>
                  </pic:blipFill>
                  <pic:spPr>
                    <a:xfrm>
                      <a:off x="0" y="0"/>
                      <a:ext cx="6035040" cy="4366687"/>
                    </a:xfrm>
                    <a:prstGeom prst="rect"/>
                  </pic:spPr>
                </pic:pic>
              </a:graphicData>
            </a:graphic>
          </wp:inline>
        </w:drawing>
      </w:r>
    </w:p>
    <w:p>
      <w:pPr>
        <w:spacing w:after="240"/>
        <w:jc w:val="center"/>
      </w:pPr>
      <w:r>
        <w:rPr>
          <w:i/>
          <w:color w:val="5B616E"/>
          <w:sz w:val="18"/>
        </w:rPr>
        <w:t>Figure 11. My Queries. Groups act as folders; the count next to each heading is the number of queries you can reach inside it.</w:t>
      </w:r>
    </w:p>
    <w:p>
      <w:r>
        <w:rPr>
          <w:b w:val="0"/>
          <w:i w:val="0"/>
        </w:rPr>
        <w:t>If the page is empty, nothing has been assigned to you yet — ask an administrator or an Access Manager to grant the query or its group to you, or to a user group you are 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Reports are listed here too, in the same groups, each carrying a badge that reads Report and counts its datasets. A report runs several queries at once and lays them out as one document; everything in this chapter applies to running one, and Chapter 7 covers what is different.</w:t>
            </w:r>
          </w:p>
        </w:tc>
      </w:tr>
    </w:tbl>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2"/>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6035040" cy="3822192"/>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3"/>
                    <a:stretch>
                      <a:fillRect/>
                    </a:stretch>
                  </pic:blipFill>
                  <pic:spPr>
                    <a:xfrm>
                      <a:off x="0" y="0"/>
                      <a:ext cx="6035040" cy="3822192"/>
                    </a:xfrm>
                    <a:prstGeom prst="rect"/>
                  </pic:spPr>
                </pic:pic>
              </a:graphicData>
            </a:graphic>
          </wp:inline>
        </w:drawing>
      </w:r>
    </w:p>
    <w:p>
      <w:pPr>
        <w:spacing w:after="240"/>
        <w:jc w:val="center"/>
      </w:pPr>
      <w:r>
        <w:rPr>
          <w:i/>
          <w:color w:val="5B616E"/>
          <w:sz w:val="18"/>
        </w:rPr>
        <w:t>Figure 14.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4"/>
                    <a:stretch>
                      <a:fillRect/>
                    </a:stretch>
                  </pic:blipFill>
                  <pic:spPr>
                    <a:xfrm>
                      <a:off x="0" y="0"/>
                      <a:ext cx="6035040" cy="3822192"/>
                    </a:xfrm>
                    <a:prstGeom prst="rect"/>
                  </pic:spPr>
                </pic:pic>
              </a:graphicData>
            </a:graphic>
          </wp:inline>
        </w:drawing>
      </w:r>
    </w:p>
    <w:p>
      <w:pPr>
        <w:spacing w:after="240"/>
        <w:jc w:val="center"/>
      </w:pPr>
      <w:r>
        <w:rPr>
          <w:i/>
          <w:color w:val="5B616E"/>
          <w:sz w:val="18"/>
        </w:rPr>
        <w:t>Figure 15.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r>
        <w:rPr>
          <w:b w:val="0"/>
          <w:i w:val="0"/>
        </w:rPr>
        <w:t>The result of a background run is held by the server, not by your page, and it is not kept forever: it is released after a period of disuse, and it is lost if the server is restarted while the query is running or before you have finished reading the result. The page says so plainly when it happens — running the query again is the remedy.</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My Execution History. For UPDATE and DELETE runs, the row count is a link that opens the values as they were before the change.</w:t>
      </w:r>
    </w:p>
    <w:p>
      <w:pPr>
        <w:pStyle w:val="Heading2"/>
      </w:pPr>
      <w:r>
        <w:t>5.10 Scheduled task status</w:t>
      </w:r>
    </w:p>
    <w:p>
      <w:r>
        <w:rPr>
          <w:b w:val="0"/>
          <w:i w:val="0"/>
        </w:rPr>
        <w:t>If an administrator granted you viewer access to a scheduled task — by name, through one of your roles, or through a user group you belong to — a Schedules entry appears in your navigation. It shows each run's start time, status, which trigger started it, and the files it produced. You can download those files only if the grant that reaches you also allows downloads.</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9"/>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user groups and users</w:t>
            </w:r>
          </w:p>
        </w:tc>
        <w:tc>
          <w:tcPr>
            <w:tcW w:type="dxa" w:w="2736"/>
          </w:tcPr>
          <w:p>
            <w:pPr>
              <w:spacing w:after="40"/>
            </w:pPr>
            <w:r>
              <w:rPr>
                <w:sz w:val="18"/>
              </w:rPr>
              <w:t>Holders of “Grant an individual query”</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077480"/>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30"/>
                    <a:stretch>
                      <a:fillRect/>
                    </a:stretch>
                  </pic:blipFill>
                  <pic:spPr>
                    <a:xfrm>
                      <a:off x="0" y="0"/>
                      <a:ext cx="6035040" cy="5077480"/>
                    </a:xfrm>
                    <a:prstGeom prst="rect"/>
                  </pic:spPr>
                </pic:pic>
              </a:graphicData>
            </a:graphic>
          </wp:inline>
        </w:drawing>
      </w:r>
    </w:p>
    <w:p>
      <w:pPr>
        <w:spacing w:after="240"/>
        <w:jc w:val="center"/>
      </w:pPr>
      <w:r>
        <w:rPr>
          <w:i/>
          <w:color w:val="5B616E"/>
          <w:sz w:val="18"/>
        </w:rPr>
        <w:t>Figure 21.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5997790"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1"/>
                    <a:stretch>
                      <a:fillRect/>
                    </a:stretch>
                  </pic:blipFill>
                  <pic:spPr>
                    <a:xfrm>
                      <a:off x="0" y="0"/>
                      <a:ext cx="5997790" cy="6949439"/>
                    </a:xfrm>
                    <a:prstGeom prst="rect"/>
                  </pic:spPr>
                </pic:pic>
              </a:graphicData>
            </a:graphic>
          </wp:inline>
        </w:drawing>
      </w:r>
    </w:p>
    <w:p>
      <w:pPr>
        <w:spacing w:after="240"/>
        <w:jc w:val="center"/>
      </w:pPr>
      <w:r>
        <w:rPr>
          <w:i/>
          <w:color w:val="5B616E"/>
          <w:sz w:val="18"/>
        </w:rPr>
        <w:t>Figure 22.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23.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User groups</w:t>
            </w:r>
          </w:p>
        </w:tc>
        <w:tc>
          <w:tcPr>
            <w:tcW w:type="dxa" w:w="7056"/>
            <w:shd w:val="clear" w:fill="F4F5FA"/>
          </w:tcPr>
          <w:p>
            <w:pPr>
              <w:spacing w:after="40"/>
            </w:pPr>
            <w:r>
              <w:rPr>
                <w:sz w:val="18"/>
              </w:rPr>
              <w:t>Matched by name; grants to a group that does not exist here are dropped and reported. Membership is never exported.</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Reports</w:t>
      </w:r>
    </w:p>
    <w:p>
      <w:r>
        <w:rPr>
          <w:b w:val="0"/>
          <w:i/>
        </w:rPr>
        <w:t>For: everyone runs them; Administrators build them.</w:t>
      </w:r>
    </w:p>
    <w:p>
      <w:r>
        <w:rPr>
          <w:b w:val="0"/>
          <w:i w:val="0"/>
        </w:rPr>
        <w:t>A query answers one question and returns one grid. A report answers several at once: it runs a set of queries together, under one set of parameters, and lays the results out in a single document — a monthly pack, a branch summary, a customer statement.</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Reports are not a separate part of the system to learn. They appear on the same My Queries page as queries, inside the same query groups, and the grant that reaches a group reaches its reports too. For someone running one, a report is simply an entry that happens to produce several tables instead of one.</w:t>
            </w:r>
          </w:p>
        </w:tc>
      </w:tr>
    </w:tbl>
    <w:p/>
    <w:p>
      <w:pPr>
        <w:pStyle w:val="Heading2"/>
      </w:pPr>
      <w:r>
        <w:t>7.1 Running a report</w:t>
      </w:r>
    </w:p>
    <w:p>
      <w:r>
        <w:rPr>
          <w:b w:val="0"/>
          <w:i w:val="0"/>
        </w:rPr>
        <w:t>Open it from My Queries exactly as you would a query. Fill in the parameters once — they are shared by every query the report runs — and press Run.</w:t>
      </w:r>
    </w:p>
    <w:p>
      <w:pPr>
        <w:spacing w:after="60"/>
        <w:jc w:val="center"/>
      </w:pPr>
      <w:r>
        <w:drawing>
          <wp:inline xmlns:a="http://schemas.openxmlformats.org/drawingml/2006/main" xmlns:pic="http://schemas.openxmlformats.org/drawingml/2006/picture">
            <wp:extent cx="5594361" cy="6949440"/>
            <wp:docPr id="25" name="Picture 25"/>
            <wp:cNvGraphicFramePr>
              <a:graphicFrameLocks noChangeAspect="1"/>
            </wp:cNvGraphicFramePr>
            <a:graphic>
              <a:graphicData uri="http://schemas.openxmlformats.org/drawingml/2006/picture">
                <pic:pic>
                  <pic:nvPicPr>
                    <pic:cNvPr id="0" name="46-report-run.png"/>
                    <pic:cNvPicPr/>
                  </pic:nvPicPr>
                  <pic:blipFill>
                    <a:blip r:embed="rId34"/>
                    <a:stretch>
                      <a:fillRect/>
                    </a:stretch>
                  </pic:blipFill>
                  <pic:spPr>
                    <a:xfrm>
                      <a:off x="0" y="0"/>
                      <a:ext cx="5594361" cy="6949440"/>
                    </a:xfrm>
                    <a:prstGeom prst="rect"/>
                  </pic:spPr>
                </pic:pic>
              </a:graphicData>
            </a:graphic>
          </wp:inline>
        </w:drawing>
      </w:r>
    </w:p>
    <w:p>
      <w:pPr>
        <w:spacing w:after="240"/>
        <w:jc w:val="center"/>
      </w:pPr>
      <w:r>
        <w:rPr>
          <w:i/>
          <w:color w:val="5B616E"/>
          <w:sz w:val="18"/>
        </w:rPr>
        <w:t>Figure 25. A report on screen: one parameter form, the charts, then one tab per section.</w:t>
      </w:r>
    </w:p>
    <w:p>
      <w:pPr>
        <w:pStyle w:val="ListBullet"/>
      </w:pPr>
      <w:r>
        <w:rPr>
          <w:b/>
        </w:rPr>
        <w:t xml:space="preserve">Each section is a tab. </w:t>
      </w:r>
      <w:r>
        <w:t>Every section is the same paged grid used for a query result, with its own column filters and sorting, so a large section costs one page of rows rather than all of them.</w:t>
      </w:r>
    </w:p>
    <w:p>
      <w:pPr>
        <w:pStyle w:val="ListBullet"/>
      </w:pPr>
      <w:r>
        <w:rPr>
          <w:b/>
        </w:rPr>
        <w:t xml:space="preserve">Charts come first. </w:t>
      </w:r>
      <w:r>
        <w:t>They are drawn from the same numbers as the sections below them.</w:t>
      </w:r>
    </w:p>
    <w:p>
      <w:pPr>
        <w:pStyle w:val="ListBullet"/>
      </w:pPr>
      <w:r>
        <w:rPr>
          <w:b/>
        </w:rPr>
        <w:t xml:space="preserve">Warnings appear above the results. </w:t>
      </w:r>
      <w:r>
        <w:t>A section that hit a row limit, or a query that failed while the rest succeeded, is reported here rather than failing the whole report.</w:t>
      </w:r>
    </w:p>
    <w:p>
      <w:pPr>
        <w:pStyle w:val="ListBullet"/>
      </w:pPr>
      <w:r>
        <w:rPr>
          <w:b/>
        </w:rPr>
        <w:t xml:space="preserve">Export writes the whole document. </w:t>
      </w:r>
      <w:r>
        <w:t>Not the tab you are looking at — every section, in the order the report defines.</w:t>
      </w:r>
    </w:p>
    <w:p>
      <w:pPr>
        <w:pStyle w:val="Heading2"/>
      </w:pPr>
      <w:r>
        <w:t>7.2 What a report is made of</w:t>
      </w:r>
    </w:p>
    <w:p>
      <w:r>
        <w:rPr>
          <w:b w:val="0"/>
          <w:i w:val="0"/>
        </w:rPr>
        <w:t>A report is a list of named datasets. The name — the dataset key — is what the Word template uses to place that dataset's table. A key is letters, digits and underscores only, and must be unique within the report.</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3b-report-details.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The Details tab: the report's name, its group, and the three limits that bound a run.</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24-report-dataset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The Datasets tab. Each dataset names a saved query and says how its parameters are filled.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440"/>
            <w:shd w:val="clear" w:fill="3730A3"/>
          </w:tcPr>
          <w:p>
            <w:pPr>
              <w:spacing w:after="40"/>
            </w:pPr>
            <w:r>
              <w:rPr>
                <w:b/>
                <w:color w:val="FFFFFF"/>
                <w:sz w:val="18"/>
              </w:rPr>
              <w:t>Kind</w:t>
            </w:r>
          </w:p>
        </w:tc>
        <w:tc>
          <w:tcPr>
            <w:tcW w:type="dxa" w:w="4176"/>
            <w:shd w:val="clear" w:fill="3730A3"/>
          </w:tcPr>
          <w:p>
            <w:pPr>
              <w:spacing w:after="40"/>
            </w:pPr>
            <w:r>
              <w:rPr>
                <w:b/>
                <w:color w:val="FFFFFF"/>
                <w:sz w:val="18"/>
              </w:rPr>
              <w:t>What it does</w:t>
            </w:r>
          </w:p>
        </w:tc>
        <w:tc>
          <w:tcPr>
            <w:tcW w:type="dxa" w:w="3312"/>
            <w:shd w:val="clear" w:fill="3730A3"/>
          </w:tcPr>
          <w:p>
            <w:pPr>
              <w:spacing w:after="40"/>
            </w:pPr>
            <w:r>
              <w:rPr>
                <w:b/>
                <w:color w:val="FFFFFF"/>
                <w:sz w:val="18"/>
              </w:rPr>
              <w:t>Use it for</w:t>
            </w:r>
          </w:p>
        </w:tc>
      </w:tr>
      <w:tr>
        <w:tc>
          <w:tcPr>
            <w:tcW w:type="dxa" w:w="1440"/>
          </w:tcPr>
          <w:p>
            <w:pPr>
              <w:spacing w:after="40"/>
            </w:pPr>
            <w:r>
              <w:rPr>
                <w:b/>
                <w:sz w:val="18"/>
              </w:rPr>
              <w:t>Query</w:t>
            </w:r>
          </w:p>
        </w:tc>
        <w:tc>
          <w:tcPr>
            <w:tcW w:type="dxa" w:w="4176"/>
          </w:tcPr>
          <w:p>
            <w:pPr>
              <w:spacing w:after="40"/>
            </w:pPr>
            <w:r>
              <w:rPr>
                <w:sz w:val="18"/>
              </w:rPr>
              <w:t>Runs one saved query and returns its rows.</w:t>
            </w:r>
          </w:p>
        </w:tc>
        <w:tc>
          <w:tcPr>
            <w:tcW w:type="dxa" w:w="3312"/>
          </w:tcPr>
          <w:p>
            <w:pPr>
              <w:spacing w:after="40"/>
            </w:pPr>
            <w:r>
              <w:rPr>
                <w:sz w:val="18"/>
              </w:rPr>
              <w:t>An independent section stacked with the others.</w:t>
            </w:r>
          </w:p>
        </w:tc>
      </w:tr>
      <w:tr>
        <w:tc>
          <w:tcPr>
            <w:tcW w:type="dxa" w:w="1440"/>
            <w:shd w:val="clear" w:fill="F4F5FA"/>
          </w:tcPr>
          <w:p>
            <w:pPr>
              <w:spacing w:after="40"/>
            </w:pPr>
            <w:r>
              <w:rPr>
                <w:b/>
                <w:sz w:val="18"/>
              </w:rPr>
              <w:t>Join</w:t>
            </w:r>
          </w:p>
        </w:tc>
        <w:tc>
          <w:tcPr>
            <w:tcW w:type="dxa" w:w="4176"/>
            <w:shd w:val="clear" w:fill="F4F5FA"/>
          </w:tcPr>
          <w:p>
            <w:pPr>
              <w:spacing w:after="40"/>
            </w:pPr>
            <w:r>
              <w:rPr>
                <w:sz w:val="18"/>
              </w:rPr>
              <w:t>Joins two datasets already fetched, on a column from each, into one wider table. Inner or left.</w:t>
            </w:r>
          </w:p>
        </w:tc>
        <w:tc>
          <w:tcPr>
            <w:tcW w:type="dxa" w:w="3312"/>
            <w:shd w:val="clear" w:fill="F4F5FA"/>
          </w:tcPr>
          <w:p>
            <w:pPr>
              <w:spacing w:after="40"/>
            </w:pPr>
            <w:r>
              <w:rPr>
                <w:sz w:val="18"/>
              </w:rPr>
              <w:t>Putting two queries' columns side by side on one row.</w:t>
            </w:r>
          </w:p>
        </w:tc>
      </w:tr>
      <w:tr>
        <w:tc>
          <w:tcPr>
            <w:tcW w:type="dxa" w:w="1440"/>
          </w:tcPr>
          <w:p>
            <w:pPr>
              <w:spacing w:after="40"/>
            </w:pPr>
            <w:r>
              <w:rPr>
                <w:b/>
                <w:sz w:val="18"/>
              </w:rPr>
              <w:t>Detail</w:t>
            </w:r>
          </w:p>
        </w:tc>
        <w:tc>
          <w:tcPr>
            <w:tcW w:type="dxa" w:w="4176"/>
          </w:tcPr>
          <w:p>
            <w:pPr>
              <w:spacing w:after="40"/>
            </w:pPr>
            <w:r>
              <w:rPr>
                <w:sz w:val="18"/>
              </w:rPr>
              <w:t>Re-runs its query once for each row of a parent dataset, passing a column of that row as a parameter.</w:t>
            </w:r>
          </w:p>
        </w:tc>
        <w:tc>
          <w:tcPr>
            <w:tcW w:type="dxa" w:w="3312"/>
          </w:tcPr>
          <w:p>
            <w:pPr>
              <w:spacing w:after="40"/>
            </w:pPr>
            <w:r>
              <w:rPr>
                <w:sz w:val="18"/>
              </w:rPr>
              <w:t>Master and detail — each customer followed by their own records.</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detail dataset runs its query once per parent row. Ten parents means ten executions, so keep the parent short. Maximum detail rows on the Details tab is the cap: the run expands that many parent rows and reports in a warning how many it left out, rather than failing. It can be raised to 1,000 — beyond that the cost stops being worth it, and the report's own timeout bounds the whole run in any case.</w:t>
            </w:r>
          </w:p>
        </w:tc>
      </w:tr>
    </w:tbl>
    <w:p/>
    <w:p>
      <w:pPr>
        <w:pStyle w:val="Heading2"/>
      </w:pPr>
      <w:r>
        <w:t>7.3 One set of parameters for every query</w:t>
      </w:r>
    </w:p>
    <w:p>
      <w:r>
        <w:rPr>
          <w:b w:val="0"/>
          <w:i w:val="0"/>
        </w:rPr>
        <w:t>The report declares its own parameters — the ones the reader fills in — and each dataset says where each of its query's parameters comes from. That is how one date range can feed five queries that each named it differently.</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25-report-parameter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Parameters tab. These are the fields the reader sees.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Source</w:t>
            </w:r>
          </w:p>
        </w:tc>
        <w:tc>
          <w:tcPr>
            <w:tcW w:type="dxa" w:w="6624"/>
            <w:shd w:val="clear" w:fill="3730A3"/>
          </w:tcPr>
          <w:p>
            <w:pPr>
              <w:spacing w:after="40"/>
            </w:pPr>
            <w:r>
              <w:rPr>
                <w:b/>
                <w:color w:val="FFFFFF"/>
                <w:sz w:val="18"/>
              </w:rPr>
              <w:t>Meaning</w:t>
            </w:r>
          </w:p>
        </w:tc>
      </w:tr>
      <w:tr>
        <w:tc>
          <w:tcPr>
            <w:tcW w:type="dxa" w:w="2304"/>
          </w:tcPr>
          <w:p>
            <w:pPr>
              <w:spacing w:after="40"/>
            </w:pPr>
            <w:r>
              <w:rPr>
                <w:sz w:val="18"/>
              </w:rPr>
              <w:t>Report parameter</w:t>
            </w:r>
          </w:p>
        </w:tc>
        <w:tc>
          <w:tcPr>
            <w:tcW w:type="dxa" w:w="6624"/>
          </w:tcPr>
          <w:p>
            <w:pPr>
              <w:spacing w:after="40"/>
            </w:pPr>
            <w:r>
              <w:rPr>
                <w:sz w:val="18"/>
              </w:rPr>
              <w:t>Take the value the reader entered in the named report parameter.</w:t>
            </w:r>
          </w:p>
        </w:tc>
      </w:tr>
      <w:tr>
        <w:tc>
          <w:tcPr>
            <w:tcW w:type="dxa" w:w="2304"/>
            <w:shd w:val="clear" w:fill="F4F5FA"/>
          </w:tcPr>
          <w:p>
            <w:pPr>
              <w:spacing w:after="40"/>
            </w:pPr>
            <w:r>
              <w:rPr>
                <w:sz w:val="18"/>
              </w:rPr>
              <w:t>Constant</w:t>
            </w:r>
          </w:p>
        </w:tc>
        <w:tc>
          <w:tcPr>
            <w:tcW w:type="dxa" w:w="6624"/>
            <w:shd w:val="clear" w:fill="F4F5FA"/>
          </w:tcPr>
          <w:p>
            <w:pPr>
              <w:spacing w:after="40"/>
            </w:pPr>
            <w:r>
              <w:rPr>
                <w:sz w:val="18"/>
              </w:rPr>
              <w:t>Always the same value, fixed when the report was built. Useful for a status filter or a row count the reader should not change.</w:t>
            </w:r>
          </w:p>
        </w:tc>
      </w:tr>
      <w:tr>
        <w:tc>
          <w:tcPr>
            <w:tcW w:type="dxa" w:w="2304"/>
          </w:tcPr>
          <w:p>
            <w:pPr>
              <w:spacing w:after="40"/>
            </w:pPr>
            <w:r>
              <w:rPr>
                <w:sz w:val="18"/>
              </w:rPr>
              <w:t>Parent column</w:t>
            </w:r>
          </w:p>
        </w:tc>
        <w:tc>
          <w:tcPr>
            <w:tcW w:type="dxa" w:w="6624"/>
          </w:tcPr>
          <w:p>
            <w:pPr>
              <w:spacing w:after="40"/>
            </w:pPr>
            <w:r>
              <w:rPr>
                <w:sz w:val="18"/>
              </w:rPr>
              <w:t>Detail datasets only: the value of the named column on the parent row being expanded.</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parameter left unmapped falls back to its own default value. If it has none and is required, the report will not run — the Datasets tab flags it when you save.</w:t>
            </w:r>
          </w:p>
        </w:tc>
      </w:tr>
    </w:tbl>
    <w:p/>
    <w:p>
      <w:pPr>
        <w:pStyle w:val="Heading2"/>
      </w:pPr>
      <w:r>
        <w:t>7.4 Charts</w:t>
      </w:r>
    </w:p>
    <w:p>
      <w:r>
        <w:rPr>
          <w:b w:val="0"/>
          <w:i w:val="0"/>
        </w:rPr>
        <w:t>A chart draws one dataset: one column supplies the categories, one or more supply the values. It appears above the sections on screen, and wherever its marker sits in the template.</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26-report-charts.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Charts tab. The value columns are separated by commas.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Type</w:t>
            </w:r>
          </w:p>
        </w:tc>
        <w:tc>
          <w:tcPr>
            <w:tcW w:type="dxa" w:w="6912"/>
            <w:shd w:val="clear" w:fill="3730A3"/>
          </w:tcPr>
          <w:p>
            <w:pPr>
              <w:spacing w:after="40"/>
            </w:pPr>
            <w:r>
              <w:rPr>
                <w:b/>
                <w:color w:val="FFFFFF"/>
                <w:sz w:val="18"/>
              </w:rPr>
              <w:t>Best for</w:t>
            </w:r>
          </w:p>
        </w:tc>
      </w:tr>
      <w:tr>
        <w:tc>
          <w:tcPr>
            <w:tcW w:type="dxa" w:w="2016"/>
          </w:tcPr>
          <w:p>
            <w:pPr>
              <w:spacing w:after="40"/>
            </w:pPr>
            <w:r>
              <w:rPr>
                <w:sz w:val="18"/>
              </w:rPr>
              <w:t>Columns</w:t>
            </w:r>
          </w:p>
        </w:tc>
        <w:tc>
          <w:tcPr>
            <w:tcW w:type="dxa" w:w="6912"/>
          </w:tcPr>
          <w:p>
            <w:pPr>
              <w:spacing w:after="40"/>
            </w:pPr>
            <w:r>
              <w:rPr>
                <w:sz w:val="18"/>
              </w:rPr>
              <w:t>Comparing a value across a handful of categories.</w:t>
            </w:r>
          </w:p>
        </w:tc>
      </w:tr>
      <w:tr>
        <w:tc>
          <w:tcPr>
            <w:tcW w:type="dxa" w:w="2016"/>
            <w:shd w:val="clear" w:fill="F4F5FA"/>
          </w:tcPr>
          <w:p>
            <w:pPr>
              <w:spacing w:after="40"/>
            </w:pPr>
            <w:r>
              <w:rPr>
                <w:sz w:val="18"/>
              </w:rPr>
              <w:t>Bars</w:t>
            </w:r>
          </w:p>
        </w:tc>
        <w:tc>
          <w:tcPr>
            <w:tcW w:type="dxa" w:w="6912"/>
            <w:shd w:val="clear" w:fill="F4F5FA"/>
          </w:tcPr>
          <w:p>
            <w:pPr>
              <w:spacing w:after="40"/>
            </w:pPr>
            <w:r>
              <w:rPr>
                <w:sz w:val="18"/>
              </w:rPr>
              <w:t>The same, when the category names are long.</w:t>
            </w:r>
          </w:p>
        </w:tc>
      </w:tr>
      <w:tr>
        <w:tc>
          <w:tcPr>
            <w:tcW w:type="dxa" w:w="2016"/>
          </w:tcPr>
          <w:p>
            <w:pPr>
              <w:spacing w:after="40"/>
            </w:pPr>
            <w:r>
              <w:rPr>
                <w:sz w:val="18"/>
              </w:rPr>
              <w:t>Line</w:t>
            </w:r>
          </w:p>
        </w:tc>
        <w:tc>
          <w:tcPr>
            <w:tcW w:type="dxa" w:w="6912"/>
          </w:tcPr>
          <w:p>
            <w:pPr>
              <w:spacing w:after="40"/>
            </w:pPr>
            <w:r>
              <w:rPr>
                <w:sz w:val="18"/>
              </w:rPr>
              <w:t>A value moving over time.</w:t>
            </w:r>
          </w:p>
        </w:tc>
      </w:tr>
      <w:tr>
        <w:tc>
          <w:tcPr>
            <w:tcW w:type="dxa" w:w="2016"/>
            <w:shd w:val="clear" w:fill="F4F5FA"/>
          </w:tcPr>
          <w:p>
            <w:pPr>
              <w:spacing w:after="40"/>
            </w:pPr>
            <w:r>
              <w:rPr>
                <w:sz w:val="18"/>
              </w:rPr>
              <w:t>Pie</w:t>
            </w:r>
          </w:p>
        </w:tc>
        <w:tc>
          <w:tcPr>
            <w:tcW w:type="dxa" w:w="6912"/>
            <w:shd w:val="clear" w:fill="F4F5FA"/>
          </w:tcPr>
          <w:p>
            <w:pPr>
              <w:spacing w:after="40"/>
            </w:pPr>
            <w:r>
              <w:rPr>
                <w:sz w:val="18"/>
              </w:rPr>
              <w:t>Parts of one whole. One series only.</w:t>
            </w:r>
          </w:p>
        </w:tc>
      </w:tr>
    </w:tbl>
    <w:p/>
    <w:p>
      <w:pPr>
        <w:pStyle w:val="ListBullet"/>
      </w:pPr>
      <w:r>
        <w:rPr>
          <w:b/>
        </w:rPr>
        <w:t xml:space="preserve">The column names are the ones the query returns. </w:t>
      </w:r>
      <w:r>
        <w:t>If the query aliases a column, use the alias — that is what the grid shows.</w:t>
      </w:r>
    </w:p>
    <w:p>
      <w:pPr>
        <w:pStyle w:val="ListBullet"/>
      </w:pPr>
      <w:r>
        <w:rPr>
          <w:b/>
        </w:rPr>
        <w:t xml:space="preserve">A cell that is not a number becomes a gap, </w:t>
      </w:r>
      <w:r>
        <w:t>not a zero — an empty month does not draw a line down to the axis.</w:t>
      </w:r>
    </w:p>
    <w:p>
      <w:pPr>
        <w:pStyle w:val="ListBullet"/>
      </w:pPr>
      <w:r>
        <w:rPr>
          <w:b/>
        </w:rPr>
        <w:t xml:space="preserve">Most categories to plot </w:t>
      </w:r>
      <w:r>
        <w:t>keeps a chart of a thousand rows readable; the rows beyond it are still in the section's table.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Chart keys and dataset keys share one namespace, so a chart cannot be given the same key as a dataset — otherwise {{RESULTS:x}} and {{CHART:x}} would disagree about what x is.</w:t>
            </w:r>
          </w:p>
        </w:tc>
      </w:tr>
    </w:tbl>
    <w:p/>
    <w:p>
      <w:pPr>
        <w:pStyle w:val="Heading2"/>
      </w:pPr>
      <w:r>
        <w:t>7.5 The Word template</w:t>
      </w:r>
    </w:p>
    <w:p>
      <w:r>
        <w:rPr>
          <w:b w:val="0"/>
          <w:i w:val="0"/>
        </w:rPr>
        <w:t>The layout is a Word document you design yourself and upload. The application supplies the data; the template decides how it looks — fonts, headings, page size, a letterhead, anything Word can do.</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7-report-template.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The Template tab: upload, download, or start from a generated template.</w:t>
      </w:r>
    </w:p>
    <w:p>
      <w:r>
        <w:rPr>
          <w:b/>
          <w:i w:val="0"/>
        </w:rPr>
        <w:t>Start with Download starter template. It is generated for this report and already contains the right keys, so the markers are correct before you change a single font.</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880"/>
            <w:shd w:val="clear" w:fill="3730A3"/>
          </w:tcPr>
          <w:p>
            <w:pPr>
              <w:spacing w:after="40"/>
            </w:pPr>
            <w:r>
              <w:rPr>
                <w:b/>
                <w:color w:val="FFFFFF"/>
                <w:sz w:val="18"/>
              </w:rPr>
              <w:t>Marker</w:t>
            </w:r>
          </w:p>
        </w:tc>
        <w:tc>
          <w:tcPr>
            <w:tcW w:type="dxa" w:w="6048"/>
            <w:shd w:val="clear" w:fill="3730A3"/>
          </w:tcPr>
          <w:p>
            <w:pPr>
              <w:spacing w:after="40"/>
            </w:pPr>
            <w:r>
              <w:rPr>
                <w:b/>
                <w:color w:val="FFFFFF"/>
                <w:sz w:val="18"/>
              </w:rPr>
              <w:t>Becomes</w:t>
            </w:r>
          </w:p>
        </w:tc>
      </w:tr>
      <w:tr>
        <w:tc>
          <w:tcPr>
            <w:tcW w:type="dxa" w:w="2880"/>
          </w:tcPr>
          <w:p>
            <w:pPr>
              <w:spacing w:after="40"/>
            </w:pPr>
            <w:r>
              <w:rPr>
                <w:sz w:val="18"/>
              </w:rPr>
              <w:t>{{RESULTS:key}}</w:t>
            </w:r>
          </w:p>
        </w:tc>
        <w:tc>
          <w:tcPr>
            <w:tcW w:type="dxa" w:w="6048"/>
          </w:tcPr>
          <w:p>
            <w:pPr>
              <w:spacing w:after="40"/>
            </w:pPr>
            <w:r>
              <w:rPr>
                <w:sz w:val="18"/>
              </w:rPr>
              <w:t>That dataset's table. The table row holding the marker is the style prototype: its fonts, borders and shading are copied to every data row.</w:t>
            </w:r>
          </w:p>
        </w:tc>
      </w:tr>
      <w:tr>
        <w:tc>
          <w:tcPr>
            <w:tcW w:type="dxa" w:w="2880"/>
            <w:shd w:val="clear" w:fill="F4F5FA"/>
          </w:tcPr>
          <w:p>
            <w:pPr>
              <w:spacing w:after="40"/>
            </w:pPr>
            <w:r>
              <w:rPr>
                <w:sz w:val="18"/>
              </w:rPr>
              <w:t>{{ROW_COUNT:key}}</w:t>
            </w:r>
          </w:p>
        </w:tc>
        <w:tc>
          <w:tcPr>
            <w:tcW w:type="dxa" w:w="6048"/>
            <w:shd w:val="clear" w:fill="F4F5FA"/>
          </w:tcPr>
          <w:p>
            <w:pPr>
              <w:spacing w:after="40"/>
            </w:pPr>
            <w:r>
              <w:rPr>
                <w:sz w:val="18"/>
              </w:rPr>
              <w:t>How many rows that dataset returned.</w:t>
            </w:r>
          </w:p>
        </w:tc>
      </w:tr>
      <w:tr>
        <w:tc>
          <w:tcPr>
            <w:tcW w:type="dxa" w:w="2880"/>
          </w:tcPr>
          <w:p>
            <w:pPr>
              <w:spacing w:after="40"/>
            </w:pPr>
            <w:r>
              <w:rPr>
                <w:sz w:val="18"/>
              </w:rPr>
              <w:t>{{VALUE:key.Column}}</w:t>
            </w:r>
          </w:p>
        </w:tc>
        <w:tc>
          <w:tcPr>
            <w:tcW w:type="dxa" w:w="6048"/>
          </w:tcPr>
          <w:p>
            <w:pPr>
              <w:spacing w:after="40"/>
            </w:pPr>
            <w:r>
              <w:rPr>
                <w:sz w:val="18"/>
              </w:rPr>
              <w:t>One cell from the first row — for a headline figure.</w:t>
            </w:r>
          </w:p>
        </w:tc>
      </w:tr>
      <w:tr>
        <w:tc>
          <w:tcPr>
            <w:tcW w:type="dxa" w:w="2880"/>
            <w:shd w:val="clear" w:fill="F4F5FA"/>
          </w:tcPr>
          <w:p>
            <w:pPr>
              <w:spacing w:after="40"/>
            </w:pPr>
            <w:r>
              <w:rPr>
                <w:sz w:val="18"/>
              </w:rPr>
              <w:t>{{CHART:key}}</w:t>
            </w:r>
          </w:p>
        </w:tc>
        <w:tc>
          <w:tcPr>
            <w:tcW w:type="dxa" w:w="6048"/>
            <w:shd w:val="clear" w:fill="F4F5FA"/>
          </w:tcPr>
          <w:p>
            <w:pPr>
              <w:spacing w:after="40"/>
            </w:pPr>
            <w:r>
              <w:rPr>
                <w:sz w:val="18"/>
              </w:rPr>
              <w:t>The chart with that key.</w:t>
            </w:r>
          </w:p>
        </w:tc>
      </w:tr>
      <w:tr>
        <w:tc>
          <w:tcPr>
            <w:tcW w:type="dxa" w:w="2880"/>
          </w:tcPr>
          <w:p>
            <w:pPr>
              <w:spacing w:after="40"/>
            </w:pPr>
            <w:r>
              <w:rPr>
                <w:sz w:val="18"/>
              </w:rPr>
              <w:t>{{#EACH:key}} … {{/EACH}}</w:t>
            </w:r>
          </w:p>
        </w:tc>
        <w:tc>
          <w:tcPr>
            <w:tcW w:type="dxa" w:w="6048"/>
          </w:tcPr>
          <w:p>
            <w:pPr>
              <w:spacing w:after="40"/>
            </w:pPr>
            <w:r>
              <w:rPr>
                <w:sz w:val="18"/>
              </w:rPr>
              <w:t>Repeats everything between the two markers once per row of that dataset. Inside it, {{FIELD:Column}} is the current row's cell, and a detail dataset's table follows its own parent.</w:t>
            </w:r>
          </w:p>
        </w:tc>
      </w:tr>
      <w:tr>
        <w:tc>
          <w:tcPr>
            <w:tcW w:type="dxa" w:w="2880"/>
            <w:shd w:val="clear" w:fill="F4F5FA"/>
          </w:tcPr>
          <w:p>
            <w:pPr>
              <w:spacing w:after="40"/>
            </w:pPr>
            <w:r>
              <w:rPr>
                <w:sz w:val="18"/>
              </w:rPr>
              <w:t>{{#IFANY:key}}, {{#IFEMPTY:key}}</w:t>
            </w:r>
          </w:p>
        </w:tc>
        <w:tc>
          <w:tcPr>
            <w:tcW w:type="dxa" w:w="6048"/>
            <w:shd w:val="clear" w:fill="F4F5FA"/>
          </w:tcPr>
          <w:p>
            <w:pPr>
              <w:spacing w:after="40"/>
            </w:pPr>
            <w:r>
              <w:rPr>
                <w:sz w:val="18"/>
              </w:rPr>
              <w:t>Keeps or drops a whole block depending on whether the dataset returned anything — so an empty section can hide its heading too.</w:t>
            </w:r>
          </w:p>
        </w:tc>
      </w:tr>
      <w:tr>
        <w:tc>
          <w:tcPr>
            <w:tcW w:type="dxa" w:w="2880"/>
          </w:tcPr>
          <w:p>
            <w:pPr>
              <w:spacing w:after="40"/>
            </w:pPr>
            <w:r>
              <w:rPr>
                <w:sz w:val="18"/>
              </w:rPr>
              <w:t>{{REPORT_NAME}}, {{GENERATED_AT}}, {{@parameter}}</w:t>
            </w:r>
          </w:p>
        </w:tc>
        <w:tc>
          <w:tcPr>
            <w:tcW w:type="dxa" w:w="6048"/>
          </w:tcPr>
          <w:p>
            <w:pPr>
              <w:spacing w:after="40"/>
            </w:pPr>
            <w:r>
              <w:rPr>
                <w:sz w:val="18"/>
              </w:rPr>
              <w:t>The report's name, when it was produced, and any parameter the reader entered.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Place a marker as ordinary body text or in a table cell. A marker inside a Word text box is left as it is and reported on upload — text boxes are not filled in.</w:t>
            </w:r>
          </w:p>
        </w:tc>
      </w:tr>
    </w:tbl>
    <w:p/>
    <w:p>
      <w:pPr>
        <w:pStyle w:val="Heading2"/>
      </w:pPr>
      <w:r>
        <w:t>7.6 Exporting a report</w:t>
      </w:r>
    </w:p>
    <w:p>
      <w:r>
        <w:rPr>
          <w:b w:val="0"/>
          <w:i w:val="0"/>
        </w:rPr>
        <w:t>Word and PDF both use the template — the PDF is the same document converted, so what you styled is what prints. Excel writes one sheet per dataset, and CSV and JSON keep the datasets separate rather than running them together.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format has to be allowed twice: the report must list it, and your role must carry the matching export permission. The menu only offers what passes both.</w:t>
            </w:r>
          </w:p>
        </w:tc>
      </w:tr>
    </w:tbl>
    <w:p/>
    <w:p>
      <w:pPr>
        <w:pStyle w:val="Heading2"/>
      </w:pPr>
      <w:r>
        <w:t>7.7 Delivering a report on a schedule</w:t>
      </w:r>
    </w:p>
    <w:p>
      <w:r>
        <w:rPr>
          <w:b w:val="0"/>
          <w:i w:val="0"/>
        </w:rPr>
        <w:t>A scheduled task can carry a report exactly as it carries a query: add an item, choose Report instead of Query, pick it, and give its parameters fixed values. The file lands in the task's output folder on the schedule you set — see the next chapter but one.</w:t>
      </w:r>
    </w:p>
    <w:p>
      <w:pPr>
        <w:pStyle w:val="Heading2"/>
      </w:pPr>
      <w:r>
        <w:t>7.8 Who can open a report</w:t>
      </w:r>
    </w:p>
    <w:p>
      <w:r>
        <w:rPr>
          <w:b w:val="0"/>
          <w:i w:val="0"/>
        </w:rPr>
        <w:t>Access is granted the same three ways as a query — by role, by user group, or to named users — and a grant on the containing query group reaches the report as well.</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28-report-access.png"/>
                    <pic:cNvPicPr/>
                  </pic:nvPicPr>
                  <pic:blipFill>
                    <a:blip r:embed="rId40"/>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Report access. Reaching the report is only the outer gate.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Reaching a report never grants the queries inside it. When the report runs, every dataset's query is checked on its own, and a dataset the reader could not have run themselves is refused and reported as a warning — the rest of the report still produces. A report can therefore never become a way round query access.</w:t>
            </w:r>
          </w:p>
        </w:tc>
      </w:tr>
    </w:tbl>
    <w:p/>
    <w:p>
      <w:r>
        <w:br w:type="page"/>
      </w:r>
    </w:p>
    <w:p>
      <w:pPr>
        <w:pStyle w:val="Heading1"/>
      </w:pPr>
      <w:r>
        <w:t>8.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32" name="Picture 32"/>
            <wp:cNvGraphicFramePr>
              <a:graphicFrameLocks noChangeAspect="1"/>
            </wp:cNvGraphicFramePr>
            <a:graphic>
              <a:graphicData uri="http://schemas.openxmlformats.org/drawingml/2006/picture">
                <pic:pic>
                  <pic:nvPicPr>
                    <pic:cNvPr id="0" name="20-query-groups.png"/>
                    <pic:cNvPicPr/>
                  </pic:nvPicPr>
                  <pic:blipFill>
                    <a:blip r:embed="rId41"/>
                    <a:stretch>
                      <a:fillRect/>
                    </a:stretch>
                  </pic:blipFill>
                  <pic:spPr>
                    <a:xfrm>
                      <a:off x="0" y="0"/>
                      <a:ext cx="6035040" cy="3822192"/>
                    </a:xfrm>
                    <a:prstGeom prst="rect"/>
                  </pic:spPr>
                </pic:pic>
              </a:graphicData>
            </a:graphic>
          </wp:inline>
        </w:drawing>
      </w:r>
    </w:p>
    <w:p>
      <w:pPr>
        <w:spacing w:after="240"/>
        <w:jc w:val="center"/>
      </w:pPr>
      <w:r>
        <w:rPr>
          <w:i/>
          <w:color w:val="5B616E"/>
          <w:sz w:val="18"/>
        </w:rPr>
        <w:t>Figure 32.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33" name="Picture 33"/>
            <wp:cNvGraphicFramePr>
              <a:graphicFrameLocks noChangeAspect="1"/>
            </wp:cNvGraphicFramePr>
            <a:graphic>
              <a:graphicData uri="http://schemas.openxmlformats.org/drawingml/2006/picture">
                <pic:pic>
                  <pic:nvPicPr>
                    <pic:cNvPr id="0" name="21-query-group-create.png"/>
                    <pic:cNvPicPr/>
                  </pic:nvPicPr>
                  <pic:blipFill>
                    <a:blip r:embed="rId4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33.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9. Granting access</w:t>
      </w:r>
    </w:p>
    <w:p>
      <w:r>
        <w:rPr>
          <w:b w:val="0"/>
          <w:i/>
        </w:rPr>
        <w:t>For: Administrators, and Access Managers.</w:t>
      </w:r>
    </w:p>
    <w:p>
      <w:pPr>
        <w:pStyle w:val="Heading2"/>
      </w:pPr>
      <w:r>
        <w:t>9.1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34" name="Picture 34"/>
            <wp:cNvGraphicFramePr>
              <a:graphicFrameLocks noChangeAspect="1"/>
            </wp:cNvGraphicFramePr>
            <a:graphic>
              <a:graphicData uri="http://schemas.openxmlformats.org/drawingml/2006/picture">
                <pic:pic>
                  <pic:nvPicPr>
                    <pic:cNvPr id="0" name="15-query-access-roles.png"/>
                    <pic:cNvPicPr/>
                  </pic:nvPicPr>
                  <pic:blipFill>
                    <a:blip r:embed="rId43"/>
                    <a:stretch>
                      <a:fillRect/>
                    </a:stretch>
                  </pic:blipFill>
                  <pic:spPr>
                    <a:xfrm>
                      <a:off x="0" y="0"/>
                      <a:ext cx="6035040" cy="3822192"/>
                    </a:xfrm>
                    <a:prstGeom prst="rect"/>
                  </pic:spPr>
                </pic:pic>
              </a:graphicData>
            </a:graphic>
          </wp:inline>
        </w:drawing>
      </w:r>
    </w:p>
    <w:p>
      <w:pPr>
        <w:spacing w:after="240"/>
        <w:jc w:val="center"/>
      </w:pPr>
      <w:r>
        <w:rPr>
          <w:i/>
          <w:color w:val="5B616E"/>
          <w:sz w:val="18"/>
        </w:rPr>
        <w:t>Figure 34.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16-query-access-user-groups.png"/>
                    <pic:cNvPicPr/>
                  </pic:nvPicPr>
                  <pic:blipFill>
                    <a:blip r:embed="rId44"/>
                    <a:stretch>
                      <a:fillRect/>
                    </a:stretch>
                  </pic:blipFill>
                  <pic:spPr>
                    <a:xfrm>
                      <a:off x="0" y="0"/>
                      <a:ext cx="6035040" cy="3822192"/>
                    </a:xfrm>
                    <a:prstGeom prst="rect"/>
                  </pic:spPr>
                </pic:pic>
              </a:graphicData>
            </a:graphic>
          </wp:inline>
        </w:drawing>
      </w:r>
    </w:p>
    <w:p>
      <w:pPr>
        <w:spacing w:after="240"/>
        <w:jc w:val="center"/>
      </w:pPr>
      <w:r>
        <w:rPr>
          <w:i/>
          <w:color w:val="5B616E"/>
          <w:sz w:val="18"/>
        </w:rPr>
        <w:t>Figure 35. The User Groups tab. Every member of a group listed here gets the query, and the member count is shown beside each group.</w:t>
      </w:r>
    </w:p>
    <w:p>
      <w:pPr>
        <w:spacing w:after="60"/>
        <w:jc w:val="center"/>
      </w:pPr>
      <w: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17-query-access-users.png"/>
                    <pic:cNvPicPr/>
                  </pic:nvPicPr>
                  <pic:blipFill>
                    <a:blip r:embed="rId45"/>
                    <a:stretch>
                      <a:fillRect/>
                    </a:stretch>
                  </pic:blipFill>
                  <pic:spPr>
                    <a:xfrm>
                      <a:off x="0" y="0"/>
                      <a:ext cx="6035040" cy="3822192"/>
                    </a:xfrm>
                    <a:prstGeom prst="rect"/>
                  </pic:spPr>
                </pic:pic>
              </a:graphicData>
            </a:graphic>
          </wp:inline>
        </w:drawing>
      </w:r>
    </w:p>
    <w:p>
      <w:pPr>
        <w:spacing w:after="240"/>
        <w:jc w:val="center"/>
      </w:pPr>
      <w:r>
        <w:rPr>
          <w:i/>
          <w:color w:val="5B616E"/>
          <w:sz w:val="18"/>
        </w:rPr>
        <w:t>Figure 36. The Users tab, for granting the query to named individuals.</w:t>
      </w:r>
    </w:p>
    <w:p>
      <w:pPr>
        <w:pStyle w:val="Heading2"/>
      </w:pPr>
      <w:r>
        <w:t>9.2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22-query-group-access.png"/>
                    <pic:cNvPicPr/>
                  </pic:nvPicPr>
                  <pic:blipFill>
                    <a:blip r:embed="rId46"/>
                    <a:stretch>
                      <a:fillRect/>
                    </a:stretch>
                  </pic:blipFill>
                  <pic:spPr>
                    <a:xfrm>
                      <a:off x="0" y="0"/>
                      <a:ext cx="6035040" cy="3822192"/>
                    </a:xfrm>
                    <a:prstGeom prst="rect"/>
                  </pic:spPr>
                </pic:pic>
              </a:graphicData>
            </a:graphic>
          </wp:inline>
        </w:drawing>
      </w:r>
    </w:p>
    <w:p>
      <w:pPr>
        <w:spacing w:after="240"/>
        <w:jc w:val="center"/>
      </w:pPr>
      <w:r>
        <w:rPr>
          <w:i/>
          <w:color w:val="5B616E"/>
          <w:sz w:val="18"/>
        </w:rPr>
        <w:t>Figure 37. Manage Group Access.</w:t>
      </w:r>
    </w:p>
    <w:p>
      <w:pPr>
        <w:pStyle w:val="Heading2"/>
      </w:pPr>
      <w:r>
        <w:t>9.3 How the grants combine</w:t>
      </w:r>
    </w:p>
    <w:p>
      <w:r>
        <w:rPr>
          <w:b w:val="0"/>
          <w:i w:val="0"/>
        </w:rPr>
        <w:t>Grants add up and there is no “deny”. A user reaches a query if any one of the following is true: a role they hold is granted the query or its group; a user group they belong to is granted it; they are granted it by name; or they are an administrator. Removing one route leaves the others in place — to remove access completely, check all three tabs on both the query and its group, and the membership of any group that was granted it.</w:t>
      </w:r>
    </w:p>
    <w:p>
      <w:r>
        <w:br w:type="page"/>
      </w:r>
    </w:p>
    <w:p>
      <w:pPr>
        <w:pStyle w:val="Heading1"/>
      </w:pPr>
      <w:r>
        <w:t>10.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10.1 The task list</w:t>
      </w:r>
    </w:p>
    <w:p>
      <w:pPr>
        <w:spacing w:after="60"/>
        <w:jc w:val="center"/>
      </w:pPr>
      <w: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30-scheduled-tasks.png"/>
                    <pic:cNvPicPr/>
                  </pic:nvPicPr>
                  <pic:blipFill>
                    <a:blip r:embed="rId47"/>
                    <a:stretch>
                      <a:fillRect/>
                    </a:stretch>
                  </pic:blipFill>
                  <pic:spPr>
                    <a:xfrm>
                      <a:off x="0" y="0"/>
                      <a:ext cx="6035040" cy="3822192"/>
                    </a:xfrm>
                    <a:prstGeom prst="rect"/>
                  </pic:spPr>
                </pic:pic>
              </a:graphicData>
            </a:graphic>
          </wp:inline>
        </w:drawing>
      </w:r>
    </w:p>
    <w:p>
      <w:pPr>
        <w:spacing w:after="240"/>
        <w:jc w:val="center"/>
      </w:pPr>
      <w:r>
        <w:rPr>
          <w:i/>
          <w:color w:val="5B616E"/>
          <w:sz w:val="18"/>
        </w:rPr>
        <w:t>Figure 38.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10.2 Creating a task</w:t>
      </w:r>
    </w:p>
    <w:p>
      <w:pPr>
        <w:spacing w:after="60"/>
        <w:jc w:val="center"/>
      </w:pPr>
      <w:r>
        <w:drawing>
          <wp:inline xmlns:a="http://schemas.openxmlformats.org/drawingml/2006/main" xmlns:pic="http://schemas.openxmlformats.org/drawingml/2006/picture">
            <wp:extent cx="6035040" cy="5404714"/>
            <wp:docPr id="39" name="Picture 39"/>
            <wp:cNvGraphicFramePr>
              <a:graphicFrameLocks noChangeAspect="1"/>
            </wp:cNvGraphicFramePr>
            <a:graphic>
              <a:graphicData uri="http://schemas.openxmlformats.org/drawingml/2006/picture">
                <pic:pic>
                  <pic:nvPicPr>
                    <pic:cNvPr id="0" name="31-scheduled-task-create.png"/>
                    <pic:cNvPicPr/>
                  </pic:nvPicPr>
                  <pic:blipFill>
                    <a:blip r:embed="rId48"/>
                    <a:stretch>
                      <a:fillRect/>
                    </a:stretch>
                  </pic:blipFill>
                  <pic:spPr>
                    <a:xfrm>
                      <a:off x="0" y="0"/>
                      <a:ext cx="6035040" cy="5404714"/>
                    </a:xfrm>
                    <a:prstGeom prst="rect"/>
                  </pic:spPr>
                </pic:pic>
              </a:graphicData>
            </a:graphic>
          </wp:inline>
        </w:drawing>
      </w:r>
    </w:p>
    <w:p>
      <w:pPr>
        <w:spacing w:after="240"/>
        <w:jc w:val="center"/>
      </w:pPr>
      <w:r>
        <w:rPr>
          <w:i/>
          <w:color w:val="5B616E"/>
          <w:sz w:val="18"/>
        </w:rPr>
        <w:t>Figure 39.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6035040" cy="5404714"/>
            <wp:docPr id="40" name="Picture 40"/>
            <wp:cNvGraphicFramePr>
              <a:graphicFrameLocks noChangeAspect="1"/>
            </wp:cNvGraphicFramePr>
            <a:graphic>
              <a:graphicData uri="http://schemas.openxmlformats.org/drawingml/2006/picture">
                <pic:pic>
                  <pic:nvPicPr>
                    <pic:cNvPr id="0" name="32-scheduled-task-edit.png"/>
                    <pic:cNvPicPr/>
                  </pic:nvPicPr>
                  <pic:blipFill>
                    <a:blip r:embed="rId49"/>
                    <a:stretch>
                      <a:fillRect/>
                    </a:stretch>
                  </pic:blipFill>
                  <pic:spPr>
                    <a:xfrm>
                      <a:off x="0" y="0"/>
                      <a:ext cx="6035040" cy="5404714"/>
                    </a:xfrm>
                    <a:prstGeom prst="rect"/>
                  </pic:spPr>
                </pic:pic>
              </a:graphicData>
            </a:graphic>
          </wp:inline>
        </w:drawing>
      </w:r>
    </w:p>
    <w:p>
      <w:pPr>
        <w:spacing w:after="240"/>
        <w:jc w:val="center"/>
      </w:pPr>
      <w:r>
        <w:rPr>
          <w:i/>
          <w:color w:val="5B616E"/>
          <w:sz w:val="18"/>
        </w:rPr>
        <w:t>Figure 40. An existing task, showing its triggers, its queries and their parameter values.</w:t>
      </w:r>
    </w:p>
    <w:p>
      <w:pPr>
        <w:pStyle w:val="Heading2"/>
      </w:pPr>
      <w:r>
        <w:t>10.3 Who can see the task</w:t>
      </w:r>
    </w:p>
    <w:p>
      <w:r>
        <w:rPr>
          <w:b w:val="0"/>
          <w:i w:val="0"/>
        </w:rPr>
        <w:t>Access to a task is managed on its own page, reached with the shield button on the task list — not on the task form. Editing a schedule therefore never disturbs who can see it. The page grants two things, and grants them the same three ways query access is granted: to a role, to a user group, or to a named user.</w:t>
      </w:r>
    </w:p>
    <w:p>
      <w:pPr>
        <w:pStyle w:val="ListBullet"/>
      </w:pPr>
      <w:r>
        <w:rPr>
          <w:b/>
        </w:rPr>
        <w:t xml:space="preserve">Viewing — </w:t>
      </w:r>
      <w:r>
        <w:t>the task appears on that person's Schedules page, with its runs, their statuses and the names of the files each run wrote.</w:t>
      </w:r>
    </w:p>
    <w:p>
      <w:pPr>
        <w:pStyle w:val="ListBullet"/>
      </w:pPr>
      <w:r>
        <w:rPr>
          <w:b/>
        </w:rPr>
        <w:t xml:space="preserve">Downloading — </w:t>
      </w:r>
      <w:r>
        <w:t>the narrower right, chosen from the viewers on the same tab. Without it a viewer sees that a file was produced but cannot fetch it.</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34-scheduled-task-access-roles.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Manage Task Access, Roles tab. Everyone holding a listed role sees the task; the second list picks which of those roles may also download the files.</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35-scheduled-task-access-user-groups.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The User Groups tab. Membership is read at the moment of the check, so adding someone to the group gives them the task at once, and removing them takes it away at once.</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36-scheduled-task-access-users.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The Users tab, for granting one person the task without giving it to their whole role or group.</w:t>
      </w:r>
    </w:p>
    <w:p>
      <w:r>
        <w:rPr>
          <w:b w:val="0"/>
          <w:i w:val="0"/>
        </w:rPr>
        <w:t>Each tab is saved on its own and replaces only its own list, so two administrators working on different tabs cannot overwrite each other. Grants add up rather than override: someone reached by two of them keeps the more generous one, so revoking a download means clearing it everywhere it was given. Administrators and Auditors see every task regardless; downloading, however, always needs either the blanket download permission or one of these grants — which is why an Auditor sees the run history but not the files.</w:t>
      </w:r>
    </w:p>
    <w:p>
      <w:pPr>
        <w:pStyle w:val="Heading2"/>
      </w:pPr>
      <w:r>
        <w:t>10.4 Run history</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33-scheduled-task-runs.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11. Users, user groups and Active Directory</w:t>
      </w:r>
    </w:p>
    <w:p>
      <w:r>
        <w:rPr>
          <w:b w:val="0"/>
          <w:i/>
        </w:rPr>
        <w:t>For: Administrators. Access Managers can use the Users page with restrictions.</w:t>
      </w:r>
    </w:p>
    <w:p>
      <w:pPr>
        <w:pStyle w:val="Heading2"/>
      </w:pPr>
      <w:r>
        <w:t>11.1 User management</w:t>
      </w:r>
    </w:p>
    <w:p>
      <w:pPr>
        <w:spacing w:after="60"/>
        <w:jc w:val="center"/>
      </w:pPr>
      <w: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51-user-management.png"/>
                    <pic:cNvPicPr/>
                  </pic:nvPicPr>
                  <pic:blipFill>
                    <a:blip r:embed="rId54"/>
                    <a:stretch>
                      <a:fillRect/>
                    </a:stretch>
                  </pic:blipFill>
                  <pic:spPr>
                    <a:xfrm>
                      <a:off x="0" y="0"/>
                      <a:ext cx="6035040" cy="3822192"/>
                    </a:xfrm>
                    <a:prstGeom prst="rect"/>
                  </pic:spPr>
                </pic:pic>
              </a:graphicData>
            </a:graphic>
          </wp:inline>
        </w:drawing>
      </w:r>
    </w:p>
    <w:p>
      <w:pPr>
        <w:spacing w:after="240"/>
        <w:jc w:val="center"/>
      </w:pPr>
      <w:r>
        <w:rPr>
          <w:i/>
          <w:color w:val="5B616E"/>
          <w:sz w:val="18"/>
        </w:rPr>
        <w:t>Figure 45.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46" name="Picture 46"/>
            <wp:cNvGraphicFramePr>
              <a:graphicFrameLocks noChangeAspect="1"/>
            </wp:cNvGraphicFramePr>
            <a:graphic>
              <a:graphicData uri="http://schemas.openxmlformats.org/drawingml/2006/picture">
                <pic:pic>
                  <pic:nvPicPr>
                    <pic:cNvPr id="0" name="52-user-create-form.png"/>
                    <pic:cNvPicPr/>
                  </pic:nvPicPr>
                  <pic:blipFill>
                    <a:blip r:embed="rId55"/>
                    <a:stretch>
                      <a:fillRect/>
                    </a:stretch>
                  </pic:blipFill>
                  <pic:spPr>
                    <a:xfrm>
                      <a:off x="0" y="0"/>
                      <a:ext cx="6035040" cy="5461041"/>
                    </a:xfrm>
                    <a:prstGeom prst="rect"/>
                  </pic:spPr>
                </pic:pic>
              </a:graphicData>
            </a:graphic>
          </wp:inline>
        </w:drawing>
      </w:r>
    </w:p>
    <w:p>
      <w:pPr>
        <w:spacing w:after="240"/>
        <w:jc w:val="center"/>
      </w:pPr>
      <w:r>
        <w:rPr>
          <w:i/>
          <w:color w:val="5B616E"/>
          <w:sz w:val="18"/>
        </w:rPr>
        <w:t>Figure 46. Creating a local user. Email is optional. Access comes from the roles chosen here and from any user group the account is later added to.</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11.2 User groups</w:t>
      </w:r>
    </w:p>
    <w:p>
      <w:r>
        <w:rPr>
          <w:b w:val="0"/>
          <w:i w:val="0"/>
        </w:rPr>
        <w:t>A user group is a named list of people, kept inside this application. Granting a query or a query group to a user group grants it to every member — which is how one change gives a whole team access, and one change takes it away again.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well as imported ones, and a reorganisation in the directory does not silently change who can reach a query.</w:t>
            </w:r>
          </w:p>
        </w:tc>
      </w:tr>
    </w:tbl>
    <w:p/>
    <w:p>
      <w:pPr>
        <w:spacing w:after="60"/>
        <w:jc w:val="center"/>
      </w:pPr>
      <w: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2a-user-groups.png"/>
                    <pic:cNvPicPr/>
                  </pic:nvPicPr>
                  <pic:blipFill>
                    <a:blip r:embed="rId56"/>
                    <a:stretch>
                      <a:fillRect/>
                    </a:stretch>
                  </pic:blipFill>
                  <pic:spPr>
                    <a:xfrm>
                      <a:off x="0" y="0"/>
                      <a:ext cx="6035040" cy="3822192"/>
                    </a:xfrm>
                    <a:prstGeom prst="rect"/>
                  </pic:spPr>
                </pic:pic>
              </a:graphicData>
            </a:graphic>
          </wp:inline>
        </w:drawing>
      </w:r>
    </w:p>
    <w:p>
      <w:pPr>
        <w:spacing w:after="240"/>
        <w:jc w:val="center"/>
      </w:pPr>
      <w:r>
        <w:rPr>
          <w:i/>
          <w:color w:val="5B616E"/>
          <w:sz w:val="18"/>
        </w:rPr>
        <w:t>Figure 47. User Groups. The Members column is the number of people a grant to that group would reach; the filter searches member names too.</w:t>
      </w:r>
    </w:p>
    <w:p>
      <w:pPr>
        <w:spacing w:after="60"/>
        <w:jc w:val="center"/>
      </w:pPr>
      <w: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2b-user-group-create.png"/>
                    <pic:cNvPicPr/>
                  </pic:nvPicPr>
                  <pic:blipFill>
                    <a:blip r:embed="rId57"/>
                    <a:stretch>
                      <a:fillRect/>
                    </a:stretch>
                  </pic:blipFill>
                  <pic:spPr>
                    <a:xfrm>
                      <a:off x="0" y="0"/>
                      <a:ext cx="6035040" cy="3822192"/>
                    </a:xfrm>
                    <a:prstGeom prst="rect"/>
                  </pic:spPr>
                </pic:pic>
              </a:graphicData>
            </a:graphic>
          </wp:inline>
        </w:drawing>
      </w:r>
    </w:p>
    <w:p>
      <w:pPr>
        <w:spacing w:after="240"/>
        <w:jc w:val="center"/>
      </w:pPr>
      <w:r>
        <w:rPr>
          <w:i/>
          <w:color w:val="5B616E"/>
          <w:sz w:val="18"/>
        </w:rPr>
        <w:t>Figure 48. Creating a group. Filter the account list, then tick the members; the field reports how many are selected.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Group</w:t>
            </w:r>
          </w:p>
        </w:tc>
        <w:tc>
          <w:tcPr>
            <w:tcW w:type="dxa" w:w="7056"/>
          </w:tcPr>
          <w:p>
            <w:pPr>
              <w:spacing w:after="40"/>
            </w:pPr>
            <w:r>
              <w:rPr>
                <w:sz w:val="18"/>
              </w:rPr>
              <w:t>Adds a group with a name, a description and its starting members. Names are unique.</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Renames the group or changes who is in it. Removing someone takes away every query the group grants them, on their very next request — they do not have to sign out and back in.</w:t>
            </w:r>
          </w:p>
        </w:tc>
      </w:tr>
      <w:tr>
        <w:tc>
          <w:tcPr>
            <w:tcW w:type="dxa" w:w="2448"/>
          </w:tcPr>
          <w:p>
            <w:pPr>
              <w:spacing w:after="40"/>
            </w:pPr>
            <w:r>
              <w:rPr>
                <w:sz w:val="18"/>
              </w:rPr>
              <w:t>Delete</w:t>
            </w:r>
          </w:p>
        </w:tc>
        <w:tc>
          <w:tcPr>
            <w:tcW w:type="dxa" w:w="7056"/>
          </w:tcPr>
          <w:p>
            <w:pPr>
              <w:spacing w:after="40"/>
            </w:pPr>
            <w:r>
              <w:rPr>
                <w:sz w:val="18"/>
              </w:rPr>
              <w:t>Deletes the group and every grant made to it. The member accounts themselves are untouched.</w:t>
            </w:r>
          </w:p>
        </w:tc>
      </w:tr>
    </w:tbl>
    <w:p/>
    <w:p>
      <w:r>
        <w:rPr>
          <w:b w:val="0"/>
          <w:i w:val="0"/>
        </w:rPr>
        <w:t>Administrators and Access Managers both run this page: deciding who is in a group is the same job as deciding what the group may reach. Query groups are a different thing — only an administrator creates, edits or deletes those.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Nobody may add their own account to a group — the option is greyed out, and the server refuses it. Otherwise an Access Manager could grant a query to a group and then walk into it, which is the same self-grant that stops them editing their own roles. An administrator can add them; from then on they can save the group, and leave it, without being blocked.</w:t>
            </w:r>
          </w:p>
        </w:tc>
      </w:tr>
    </w:tbl>
    <w:p/>
    <w:p>
      <w:pPr>
        <w:pStyle w:val="Heading2"/>
      </w:pPr>
      <w:r>
        <w:t>11.3 Active Directory</w:t>
      </w:r>
    </w:p>
    <w:p>
      <w:r>
        <w:rPr>
          <w:b w:val="0"/>
          <w:i w:val="0"/>
        </w:rPr>
        <w:t>AD Users imports accounts from the directory so they can be granted queries — directly, or by putting them in a user group. It has three tabs.</w:t>
      </w:r>
    </w:p>
    <w:p>
      <w:pPr>
        <w:spacing w:after="60"/>
        <w:jc w:val="center"/>
      </w:pPr>
      <w: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5-ad-users-search.png"/>
                    <pic:cNvPicPr/>
                  </pic:nvPicPr>
                  <pic:blipFill>
                    <a:blip r:embed="rId5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49.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50" name="Picture 50"/>
            <wp:cNvGraphicFramePr>
              <a:graphicFrameLocks noChangeAspect="1"/>
            </wp:cNvGraphicFramePr>
            <a:graphic>
              <a:graphicData uri="http://schemas.openxmlformats.org/drawingml/2006/picture">
                <pic:pic>
                  <pic:nvPicPr>
                    <pic:cNvPr id="0" name="56-ad-users-departments.png"/>
                    <pic:cNvPicPr/>
                  </pic:nvPicPr>
                  <pic:blipFill>
                    <a:blip r:embed="rId59"/>
                    <a:stretch>
                      <a:fillRect/>
                    </a:stretch>
                  </pic:blipFill>
                  <pic:spPr>
                    <a:xfrm>
                      <a:off x="0" y="0"/>
                      <a:ext cx="6035040" cy="3822192"/>
                    </a:xfrm>
                    <a:prstGeom prst="rect"/>
                  </pic:spPr>
                </pic:pic>
              </a:graphicData>
            </a:graphic>
          </wp:inline>
        </w:drawing>
      </w:r>
    </w:p>
    <w:p>
      <w:pPr>
        <w:spacing w:after="240"/>
        <w:jc w:val="center"/>
      </w:pPr>
      <w:r>
        <w:rPr>
          <w:i/>
          <w:color w:val="5B616E"/>
          <w:sz w:val="18"/>
        </w:rPr>
        <w:t>Figure 50. Departments. View a directory department's members, or import all of them at once. This is the only page that reads AD departments — they bring accounts in, they do not grant anything.</w:t>
      </w:r>
    </w:p>
    <w:p>
      <w:pPr>
        <w:spacing w:after="60"/>
        <w:jc w:val="center"/>
      </w:pPr>
      <w:r>
        <w:drawing>
          <wp:inline xmlns:a="http://schemas.openxmlformats.org/drawingml/2006/main" xmlns:pic="http://schemas.openxmlformats.org/drawingml/2006/picture">
            <wp:extent cx="6035040" cy="3822192"/>
            <wp:docPr id="51" name="Picture 51"/>
            <wp:cNvGraphicFramePr>
              <a:graphicFrameLocks noChangeAspect="1"/>
            </wp:cNvGraphicFramePr>
            <a:graphic>
              <a:graphicData uri="http://schemas.openxmlformats.org/drawingml/2006/picture">
                <pic:pic>
                  <pic:nvPicPr>
                    <pic:cNvPr id="0" name="57-ad-users-imported.png"/>
                    <pic:cNvPicPr/>
                  </pic:nvPicPr>
                  <pic:blipFill>
                    <a:blip r:embed="rId60"/>
                    <a:stretch>
                      <a:fillRect/>
                    </a:stretch>
                  </pic:blipFill>
                  <pic:spPr>
                    <a:xfrm>
                      <a:off x="0" y="0"/>
                      <a:ext cx="6035040" cy="3822192"/>
                    </a:xfrm>
                    <a:prstGeom prst="rect"/>
                  </pic:spPr>
                </pic:pic>
              </a:graphicData>
            </a:graphic>
          </wp:inline>
        </w:drawing>
      </w:r>
    </w:p>
    <w:p>
      <w:pPr>
        <w:spacing w:after="240"/>
        <w:jc w:val="center"/>
      </w:pPr>
      <w:r>
        <w:rPr>
          <w:i/>
          <w:color w:val="5B616E"/>
          <w:sz w:val="18"/>
        </w:rPr>
        <w:t>Figure 51. Imported Users — the accounts already in the system, with Sync from AD to refresh their details.</w:t>
      </w:r>
    </w:p>
    <w:p>
      <w:pPr>
        <w:pStyle w:val="ListBullet"/>
      </w:pPr>
      <w:r>
        <w:rPr>
          <w:b/>
        </w:rPr>
        <w:t xml:space="preserve">Sync from AD — </w:t>
      </w:r>
      <w:r>
        <w:t>refreshes names, emails and departments for accounts already imported. It does not change group membership or anyone's access.</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12.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52" name="Picture 52"/>
            <wp:cNvGraphicFramePr>
              <a:graphicFrameLocks noChangeAspect="1"/>
            </wp:cNvGraphicFramePr>
            <a:graphic>
              <a:graphicData uri="http://schemas.openxmlformats.org/drawingml/2006/picture">
                <pic:pic>
                  <pic:nvPicPr>
                    <pic:cNvPr id="0" name="53-database-users.png"/>
                    <pic:cNvPicPr/>
                  </pic:nvPicPr>
                  <pic:blipFill>
                    <a:blip r:embed="rId61"/>
                    <a:stretch>
                      <a:fillRect/>
                    </a:stretch>
                  </pic:blipFill>
                  <pic:spPr>
                    <a:xfrm>
                      <a:off x="0" y="0"/>
                      <a:ext cx="6035040" cy="3822192"/>
                    </a:xfrm>
                    <a:prstGeom prst="rect"/>
                  </pic:spPr>
                </pic:pic>
              </a:graphicData>
            </a:graphic>
          </wp:inline>
        </w:drawing>
      </w:r>
    </w:p>
    <w:p>
      <w:pPr>
        <w:spacing w:after="240"/>
        <w:jc w:val="center"/>
      </w:pPr>
      <w:r>
        <w:rPr>
          <w:i/>
          <w:color w:val="5B616E"/>
          <w:sz w:val="18"/>
        </w:rPr>
        <w:t>Figure 52. The database connections list.</w:t>
      </w:r>
    </w:p>
    <w:p>
      <w:pPr>
        <w:spacing w:after="60"/>
        <w:jc w:val="center"/>
      </w:pPr>
      <w:r>
        <w:drawing>
          <wp:inline xmlns:a="http://schemas.openxmlformats.org/drawingml/2006/main" xmlns:pic="http://schemas.openxmlformats.org/drawingml/2006/picture">
            <wp:extent cx="6035040" cy="3822192"/>
            <wp:docPr id="53" name="Picture 53"/>
            <wp:cNvGraphicFramePr>
              <a:graphicFrameLocks noChangeAspect="1"/>
            </wp:cNvGraphicFramePr>
            <a:graphic>
              <a:graphicData uri="http://schemas.openxmlformats.org/drawingml/2006/picture">
                <pic:pic>
                  <pic:nvPicPr>
                    <pic:cNvPr id="0" name="54-database-user-form.png"/>
                    <pic:cNvPicPr/>
                  </pic:nvPicPr>
                  <pic:blipFill>
                    <a:blip r:embed="rId62"/>
                    <a:stretch>
                      <a:fillRect/>
                    </a:stretch>
                  </pic:blipFill>
                  <pic:spPr>
                    <a:xfrm>
                      <a:off x="0" y="0"/>
                      <a:ext cx="6035040" cy="3822192"/>
                    </a:xfrm>
                    <a:prstGeom prst="rect"/>
                  </pic:spPr>
                </pic:pic>
              </a:graphicData>
            </a:graphic>
          </wp:inline>
        </w:drawing>
      </w:r>
    </w:p>
    <w:p>
      <w:pPr>
        <w:spacing w:after="240"/>
        <w:jc w:val="center"/>
      </w:pPr>
      <w:r>
        <w:rPr>
          <w:i/>
          <w:color w:val="5B616E"/>
          <w:sz w:val="18"/>
        </w:rPr>
        <w:t>Figure 53.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13.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13.1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54" name="Picture 54"/>
            <wp:cNvGraphicFramePr>
              <a:graphicFrameLocks noChangeAspect="1"/>
            </wp:cNvGraphicFramePr>
            <a:graphic>
              <a:graphicData uri="http://schemas.openxmlformats.org/drawingml/2006/picture">
                <pic:pic>
                  <pic:nvPicPr>
                    <pic:cNvPr id="0" name="40-execution-logs.png"/>
                    <pic:cNvPicPr/>
                  </pic:nvPicPr>
                  <pic:blipFill>
                    <a:blip r:embed="rId63"/>
                    <a:stretch>
                      <a:fillRect/>
                    </a:stretch>
                  </pic:blipFill>
                  <pic:spPr>
                    <a:xfrm>
                      <a:off x="0" y="0"/>
                      <a:ext cx="6035040" cy="3822192"/>
                    </a:xfrm>
                    <a:prstGeom prst="rect"/>
                  </pic:spPr>
                </pic:pic>
              </a:graphicData>
            </a:graphic>
          </wp:inline>
        </w:drawing>
      </w:r>
    </w:p>
    <w:p>
      <w:pPr>
        <w:spacing w:after="240"/>
        <w:jc w:val="center"/>
      </w:pPr>
      <w:r>
        <w:rPr>
          <w:i/>
          <w:color w:val="5B616E"/>
          <w:sz w:val="18"/>
        </w:rPr>
        <w:t>Figure 54.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13.2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55" name="Picture 55"/>
            <wp:cNvGraphicFramePr>
              <a:graphicFrameLocks noChangeAspect="1"/>
            </wp:cNvGraphicFramePr>
            <a:graphic>
              <a:graphicData uri="http://schemas.openxmlformats.org/drawingml/2006/picture">
                <pic:pic>
                  <pic:nvPicPr>
                    <pic:cNvPr id="0" name="41-system-audit.png"/>
                    <pic:cNvPicPr/>
                  </pic:nvPicPr>
                  <pic:blipFill>
                    <a:blip r:embed="rId6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55.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56" name="Picture 56"/>
            <wp:cNvGraphicFramePr>
              <a:graphicFrameLocks noChangeAspect="1"/>
            </wp:cNvGraphicFramePr>
            <a:graphic>
              <a:graphicData uri="http://schemas.openxmlformats.org/drawingml/2006/picture">
                <pic:pic>
                  <pic:nvPicPr>
                    <pic:cNvPr id="0" name="92-auditor-system-audit.png"/>
                    <pic:cNvPicPr/>
                  </pic:nvPicPr>
                  <pic:blipFill>
                    <a:blip r:embed="rId65"/>
                    <a:stretch>
                      <a:fillRect/>
                    </a:stretch>
                  </pic:blipFill>
                  <pic:spPr>
                    <a:xfrm>
                      <a:off x="0" y="0"/>
                      <a:ext cx="6035040" cy="3822192"/>
                    </a:xfrm>
                    <a:prstGeom prst="rect"/>
                  </pic:spPr>
                </pic:pic>
              </a:graphicData>
            </a:graphic>
          </wp:inline>
        </w:drawing>
      </w:r>
    </w:p>
    <w:p>
      <w:pPr>
        <w:spacing w:after="240"/>
        <w:jc w:val="center"/>
      </w:pPr>
      <w:r>
        <w:rPr>
          <w:i/>
          <w:color w:val="5B616E"/>
          <w:sz w:val="18"/>
        </w:rPr>
        <w:t>Figure 56. The same page seen by an Auditor. The content is identical; the navigation around it is not.</w:t>
      </w:r>
    </w:p>
    <w:p>
      <w:r>
        <w:br w:type="page"/>
      </w:r>
    </w:p>
    <w:p>
      <w:pPr>
        <w:pStyle w:val="Heading1"/>
      </w:pPr>
      <w:r>
        <w:t>14. Website branding</w:t>
      </w:r>
    </w:p>
    <w:p>
      <w:r>
        <w:rPr>
          <w:b w:val="0"/>
          <w:i/>
        </w:rPr>
        <w:t>For: Administrators only.</w:t>
      </w:r>
    </w:p>
    <w:p>
      <w:r>
        <w:rPr>
          <w:b w:val="0"/>
          <w:i w:val="0"/>
        </w:rPr>
        <w:t>What the top bar shows can be changed: an uploaded logo, or the site's name written in each language. The same dialog also sets the icon browsers show on the tab. Open the account menu and choose Website branding.</w:t>
      </w:r>
    </w:p>
    <w:p>
      <w:r>
        <w:rPr>
          <w:b w:val="0"/>
          <w:i w:val="0"/>
        </w:rPr>
        <w:t>The bar picks the first of three, in order: the logo when one is uploaded, otherwise the site name for the language in use, otherwise the application's own name. So the bar is never blank, and removing a logo reveals the name underneath rather than emptying the bar.</w:t>
      </w:r>
    </w:p>
    <w:p>
      <w:pPr>
        <w:spacing w:after="60"/>
        <w:jc w:val="center"/>
      </w:pPr>
      <w:r>
        <w:drawing>
          <wp:inline xmlns:a="http://schemas.openxmlformats.org/drawingml/2006/main" xmlns:pic="http://schemas.openxmlformats.org/drawingml/2006/picture">
            <wp:extent cx="6035040" cy="3822192"/>
            <wp:docPr id="57" name="Picture 57"/>
            <wp:cNvGraphicFramePr>
              <a:graphicFrameLocks noChangeAspect="1"/>
            </wp:cNvGraphicFramePr>
            <a:graphic>
              <a:graphicData uri="http://schemas.openxmlformats.org/drawingml/2006/picture">
                <pic:pic>
                  <pic:nvPicPr>
                    <pic:cNvPr id="0" name="58-branding-dialog.png"/>
                    <pic:cNvPicPr/>
                  </pic:nvPicPr>
                  <pic:blipFill>
                    <a:blip r:embed="rId66"/>
                    <a:stretch>
                      <a:fillRect/>
                    </a:stretch>
                  </pic:blipFill>
                  <pic:spPr>
                    <a:xfrm>
                      <a:off x="0" y="0"/>
                      <a:ext cx="6035040" cy="3822192"/>
                    </a:xfrm>
                    <a:prstGeom prst="rect"/>
                  </pic:spPr>
                </pic:pic>
              </a:graphicData>
            </a:graphic>
          </wp:inline>
        </w:drawing>
      </w:r>
    </w:p>
    <w:p>
      <w:pPr>
        <w:spacing w:after="240"/>
        <w:jc w:val="center"/>
      </w:pPr>
      <w:r>
        <w:rPr>
          <w:i/>
          <w:color w:val="5B616E"/>
          <w:sz w:val="18"/>
        </w:rPr>
        <w:t>Figure 57. The branding dialog: the logo above, the browser tab icon below it. Scrolling down reveals the site name.</w:t>
      </w:r>
    </w:p>
    <w:p>
      <w:pPr>
        <w:pStyle w:val="Heading2"/>
      </w:pPr>
      <w:r>
        <w:t>The logo</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Heading2"/>
      </w:pPr>
      <w:r>
        <w:t>The browser tab icon</w:t>
      </w:r>
    </w:p>
    <w:p>
      <w:r>
        <w:rPr>
          <w:b w:val="0"/>
          <w:i w:val="0"/>
        </w:rPr>
        <w:t>This is the small icon a browser shows on the tab, in the bookmarks bar and in history. It is uploaded separately from the logo rather than scaled down from it: a banner logo is wide and readable at 40 pixels tall, while a tab icon is a 16 pixel square, and shrinking the one into the other produces a smudge.</w:t>
      </w:r>
    </w:p>
    <w:p>
      <w:pPr>
        <w:pStyle w:val="ListBullet"/>
      </w:pPr>
      <w:r>
        <w:rPr>
          <w:b/>
        </w:rPr>
        <w:t xml:space="preserve">Formats — </w:t>
      </w:r>
      <w:r>
        <w:t>PNG, ICO or WebP, up to 256 KB. JPG is not accepted, because a tab icon needs the transparent background JPG cannot carry.</w:t>
      </w:r>
    </w:p>
    <w:p>
      <w:pPr>
        <w:pStyle w:val="ListBullet"/>
      </w:pPr>
      <w:r>
        <w:rPr>
          <w:b/>
        </w:rPr>
        <w:t xml:space="preserve">Size — </w:t>
      </w:r>
      <w:r>
        <w:t>a square 32×32 pixel image suits the tab and the bookmarks bar. The dialog previews it twice: enlarged, and at the true size the browser will use.</w:t>
      </w:r>
    </w:p>
    <w:p>
      <w:pPr>
        <w:pStyle w:val="ListBullet"/>
      </w:pPr>
      <w:r>
        <w:rPr>
          <w:b/>
        </w:rPr>
        <w:t xml:space="preserve">It appears before signing in — </w:t>
      </w:r>
      <w:r>
        <w:t>the sign-in page's tab carries it too, so the icon is part of what someone sees before they have an account in hand.</w:t>
      </w:r>
    </w:p>
    <w:p>
      <w:pPr>
        <w:pStyle w:val="ListBullet"/>
      </w:pPr>
      <w:r>
        <w:rPr>
          <w:b/>
        </w:rPr>
        <w:t xml:space="preserve">Remove — </w:t>
      </w:r>
      <w:r>
        <w:t>with none stored the browser shows its own default icon; there is no fallback of ours.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Browsers cache tab icons aggressively. After replacing one, a tab that was already open may keep the old icon until it is reloaded — open the site in a new tab to check the change rather than trusting the tab you were already on.</w:t>
            </w:r>
          </w:p>
        </w:tc>
      </w:tr>
    </w:tbl>
    <w:p/>
    <w:p>
      <w:pPr>
        <w:pStyle w:val="Heading2"/>
      </w:pPr>
      <w:r>
        <w:t>The site name</w:t>
      </w:r>
    </w:p>
    <w:p>
      <w:pPr>
        <w:spacing w:after="60"/>
        <w:jc w:val="center"/>
      </w:pPr>
      <w:r>
        <w:drawing>
          <wp:inline xmlns:a="http://schemas.openxmlformats.org/drawingml/2006/main" xmlns:pic="http://schemas.openxmlformats.org/drawingml/2006/picture">
            <wp:extent cx="6035040" cy="3822192"/>
            <wp:docPr id="58" name="Picture 58"/>
            <wp:cNvGraphicFramePr>
              <a:graphicFrameLocks noChangeAspect="1"/>
            </wp:cNvGraphicFramePr>
            <a:graphic>
              <a:graphicData uri="http://schemas.openxmlformats.org/drawingml/2006/picture">
                <pic:pic>
                  <pic:nvPicPr>
                    <pic:cNvPr id="0" name="58b-branding-dialog-name.png"/>
                    <pic:cNvPicPr/>
                  </pic:nvPicPr>
                  <pic:blipFill>
                    <a:blip r:embed="rId67"/>
                    <a:stretch>
                      <a:fillRect/>
                    </a:stretch>
                  </pic:blipFill>
                  <pic:spPr>
                    <a:xfrm>
                      <a:off x="0" y="0"/>
                      <a:ext cx="6035040" cy="3822192"/>
                    </a:xfrm>
                    <a:prstGeom prst="rect"/>
                  </pic:spPr>
                </pic:pic>
              </a:graphicData>
            </a:graphic>
          </wp:inline>
        </w:drawing>
      </w:r>
    </w:p>
    <w:p>
      <w:pPr>
        <w:spacing w:after="240"/>
        <w:jc w:val="center"/>
      </w:pPr>
      <w:r>
        <w:rPr>
          <w:i/>
          <w:color w:val="5B616E"/>
          <w:sz w:val="18"/>
        </w:rPr>
        <w:t>Figure 58. The lower half of the same dialog: one name field per language, each counting the characters left.</w:t>
      </w:r>
    </w:p>
    <w:p>
      <w:pPr>
        <w:pStyle w:val="ListBullet"/>
      </w:pPr>
      <w:r>
        <w:rPr>
          <w:b/>
        </w:rPr>
        <w:t xml:space="preserve">One name per language — </w:t>
      </w:r>
      <w:r>
        <w:t>the English name is shown to someone using the English interface and the Arabic name to someone using the Arabic one. They are independent: an installation is rarely called the same thing in both.</w:t>
      </w:r>
    </w:p>
    <w:p>
      <w:pPr>
        <w:pStyle w:val="ListBullet"/>
      </w:pPr>
      <w:r>
        <w:rPr>
          <w:b/>
        </w:rPr>
        <w:t xml:space="preserve">Either may be left empty — </w:t>
      </w:r>
      <w:r>
        <w:t>an empty field falls back to the application's name for that language only, so filling in the Arabic alone is a valid setup.</w:t>
      </w:r>
    </w:p>
    <w:p>
      <w:pPr>
        <w:pStyle w:val="ListBullet"/>
      </w:pPr>
      <w:r>
        <w:rPr>
          <w:b/>
        </w:rPr>
        <w:t xml:space="preserve">Up to 60 characters — </w:t>
      </w:r>
      <w:r>
        <w:t>a longer name is refused rather than trimmed on screen, because the bar shares its width with the navigation.</w:t>
      </w:r>
    </w:p>
    <w:p>
      <w:pPr>
        <w:pStyle w:val="ListBullet"/>
      </w:pPr>
      <w:r>
        <w:rPr>
          <w:b/>
        </w:rPr>
        <w:t xml:space="preserve">Save — </w:t>
      </w:r>
      <w:r>
        <w:t>both names are written together, and the bar updates without a reload. Uploading a logo is immediate and needs no Save.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change here is recorded in the system audit trail — the logo under “Changed the site logo”, the tab icon under “Changed the browser tab icon”, and the name under “Changed the site name”.</w:t>
            </w:r>
          </w:p>
        </w:tc>
      </w:tr>
    </w:tbl>
    <w:p/>
    <w:p>
      <w:pPr>
        <w:pStyle w:val="Heading1"/>
      </w:pPr>
      <w:r>
        <w:t>15. System settings</w:t>
      </w:r>
    </w:p>
    <w:p>
      <w:r>
        <w:rPr>
          <w:b w:val="0"/>
          <w:i/>
        </w:rPr>
        <w:t>For: holders of “Change system settings” or “Manage roles and permissions”.</w:t>
      </w:r>
    </w:p>
    <w:p>
      <w:r>
        <w:rPr>
          <w:b w:val="0"/>
          <w:i w:val="0"/>
        </w:rPr>
        <w:t>Settings holds the choices that apply to the whole installation — what a role is permitted to do, how long a sign-in lasts, and which features are available. They take effect immediately, without a restart, and each change is recorded in the system audit trail. Switches save the moment you flip them; the numbers are edited together and saved with the button beneath them.</w:t>
      </w:r>
    </w:p>
    <w:p>
      <w:pPr>
        <w:pStyle w:val="Heading2"/>
      </w:pPr>
      <w:r>
        <w:t>15.1 System</w:t>
      </w:r>
    </w:p>
    <w:p>
      <w:pPr>
        <w:spacing w:after="60"/>
        <w:jc w:val="center"/>
      </w:pPr>
      <w:r>
        <w:drawing>
          <wp:inline xmlns:a="http://schemas.openxmlformats.org/drawingml/2006/main" xmlns:pic="http://schemas.openxmlformats.org/drawingml/2006/picture">
            <wp:extent cx="6035040" cy="3822192"/>
            <wp:docPr id="59" name="Picture 59"/>
            <wp:cNvGraphicFramePr>
              <a:graphicFrameLocks noChangeAspect="1"/>
            </wp:cNvGraphicFramePr>
            <a:graphic>
              <a:graphicData uri="http://schemas.openxmlformats.org/drawingml/2006/picture">
                <pic:pic>
                  <pic:nvPicPr>
                    <pic:cNvPr id="0" name="50-system-settings.png"/>
                    <pic:cNvPicPr/>
                  </pic:nvPicPr>
                  <pic:blipFill>
                    <a:blip r:embed="rId68"/>
                    <a:stretch>
                      <a:fillRect/>
                    </a:stretch>
                  </pic:blipFill>
                  <pic:spPr>
                    <a:xfrm>
                      <a:off x="0" y="0"/>
                      <a:ext cx="6035040" cy="3822192"/>
                    </a:xfrm>
                    <a:prstGeom prst="rect"/>
                  </pic:spPr>
                </pic:pic>
              </a:graphicData>
            </a:graphic>
          </wp:inline>
        </w:drawing>
      </w:r>
    </w:p>
    <w:p>
      <w:pPr>
        <w:spacing w:after="240"/>
        <w:jc w:val="center"/>
      </w:pPr>
      <w:r>
        <w:rPr>
          <w:i/>
          <w:color w:val="5B616E"/>
          <w:sz w:val="18"/>
        </w:rPr>
        <w:t>Figure 59.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Active Directory features are available</w:t>
            </w:r>
          </w:p>
        </w:tc>
        <w:tc>
          <w:tcPr>
            <w:tcW w:type="dxa" w:w="1152"/>
          </w:tcPr>
          <w:p>
            <w:pPr>
              <w:spacing w:after="40"/>
            </w:pPr>
            <w:r>
              <w:rPr>
                <w:sz w:val="18"/>
              </w:rPr>
              <w:t>On</w:t>
            </w:r>
          </w:p>
        </w:tc>
        <w:tc>
          <w:tcPr>
            <w:tcW w:type="dxa" w:w="5184"/>
          </w:tcPr>
          <w:p>
            <w:pPr>
              <w:spacing w:after="40"/>
            </w:pPr>
            <w:r>
              <w:rPr>
                <w:sz w:val="18"/>
              </w:rPr>
              <w:t>Turn it off on an installation with no directory: the AD Users page is hidden rather than left to report a connection failure. Signing in is not affected.</w:t>
            </w:r>
          </w:p>
        </w:tc>
      </w:tr>
      <w:tr>
        <w:tc>
          <w:tcPr>
            <w:tcW w:type="dxa" w:w="3168"/>
            <w:shd w:val="clear" w:fill="F4F5FA"/>
          </w:tcPr>
          <w:p>
            <w:pPr>
              <w:spacing w:after="40"/>
            </w:pPr>
            <w:r>
              <w:rPr>
                <w:b/>
                <w:sz w:val="18"/>
              </w:rPr>
              <w:t>Access token (minutes)</w:t>
            </w:r>
          </w:p>
        </w:tc>
        <w:tc>
          <w:tcPr>
            <w:tcW w:type="dxa" w:w="1152"/>
            <w:shd w:val="clear" w:fill="F4F5FA"/>
          </w:tcPr>
          <w:p>
            <w:pPr>
              <w:spacing w:after="40"/>
            </w:pPr>
            <w:r>
              <w:rPr>
                <w:sz w:val="18"/>
              </w:rPr>
              <w:t>60</w:t>
            </w:r>
          </w:p>
        </w:tc>
        <w:tc>
          <w:tcPr>
            <w:tcW w:type="dxa" w:w="5184"/>
            <w:shd w:val="clear" w:fill="F4F5FA"/>
          </w:tcPr>
          <w:p>
            <w:pPr>
              <w:spacing w:after="40"/>
            </w:pPr>
            <w:r>
              <w:rPr>
                <w:sz w:val="18"/>
              </w:rPr>
              <w:t>How long a sign-in lasts before it is quietly renewed, between 5 and 1440. Shorter means a revoked account, or someone removed from a group, loses what their token still carries sooner.</w:t>
            </w:r>
          </w:p>
        </w:tc>
      </w:tr>
      <w:tr>
        <w:tc>
          <w:tcPr>
            <w:tcW w:type="dxa" w:w="3168"/>
          </w:tcPr>
          <w:p>
            <w:pPr>
              <w:spacing w:after="40"/>
            </w:pPr>
            <w:r>
              <w:rPr>
                <w:b/>
                <w:sz w:val="18"/>
              </w:rPr>
              <w:t>Refresh token (days)</w:t>
            </w:r>
          </w:p>
        </w:tc>
        <w:tc>
          <w:tcPr>
            <w:tcW w:type="dxa" w:w="1152"/>
          </w:tcPr>
          <w:p>
            <w:pPr>
              <w:spacing w:after="40"/>
            </w:pPr>
            <w:r>
              <w:rPr>
                <w:sz w:val="18"/>
              </w:rPr>
              <w:t>7</w:t>
            </w:r>
          </w:p>
        </w:tc>
        <w:tc>
          <w:tcPr>
            <w:tcW w:type="dxa" w:w="5184"/>
          </w:tcPr>
          <w:p>
            <w:pPr>
              <w:spacing w:after="40"/>
            </w:pPr>
            <w:r>
              <w:rPr>
                <w:sz w:val="18"/>
              </w:rPr>
              <w:t>How long someone may stay away and still return without signing in again, between 1 and 90.</w:t>
            </w:r>
          </w:p>
        </w:tc>
      </w:tr>
      <w:tr>
        <w:tc>
          <w:tcPr>
            <w:tcW w:type="dxa" w:w="3168"/>
            <w:shd w:val="clear" w:fill="F4F5FA"/>
          </w:tcPr>
          <w:p>
            <w:pPr>
              <w:spacing w:after="40"/>
            </w:pPr>
            <w:r>
              <w:rPr>
                <w:b/>
                <w:sz w:val="18"/>
              </w:rPr>
              <w:t>Row limit for previews and lookups</w:t>
            </w:r>
          </w:p>
        </w:tc>
        <w:tc>
          <w:tcPr>
            <w:tcW w:type="dxa" w:w="1152"/>
            <w:shd w:val="clear" w:fill="F4F5FA"/>
          </w:tcPr>
          <w:p>
            <w:pPr>
              <w:spacing w:after="40"/>
            </w:pPr>
            <w:r>
              <w:rPr>
                <w:sz w:val="18"/>
              </w:rPr>
              <w:t>10000</w:t>
            </w:r>
          </w:p>
        </w:tc>
        <w:tc>
          <w:tcPr>
            <w:tcW w:type="dxa" w:w="5184"/>
            <w:shd w:val="clear" w:fill="F4F5FA"/>
          </w:tcPr>
          <w:p>
            <w:pPr>
              <w:spacing w:after="40"/>
            </w:pPr>
            <w:r>
              <w:rPr>
                <w:sz w:val="18"/>
              </w:rPr>
              <w:t>Caps what is read in one go where a whole result is held in memory: a write query's preview, the before-change snapshot it records, and the options behind a dropdown parameter. The results grid and exports are not affected.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numbers are checked against their limits when you save; a value outside them is refused with a message naming the range. Shortening the access token does not end sessions that are already open — it applies from the next sign-in or renewal.</w:t>
            </w:r>
          </w:p>
        </w:tc>
      </w:tr>
    </w:tbl>
    <w:p/>
    <w:p>
      <w:pPr>
        <w:pStyle w:val="Heading2"/>
      </w:pPr>
      <w:r>
        <w:t>15.2 Permissions</w:t>
      </w:r>
    </w:p>
    <w:p>
      <w:r>
        <w:rPr>
          <w:b w:val="0"/>
          <w:i w:val="0"/>
        </w:rPr>
        <w:t>The second tab is the whole authorization model in one grid: every capability the system offers down the side, every role across the top, and a tick where the role holds it. Everything any role may do is decided here.</w:t>
      </w:r>
    </w:p>
    <w:p>
      <w:pPr>
        <w:spacing w:after="60"/>
        <w:jc w:val="center"/>
      </w:pPr>
      <w:r>
        <w:drawing>
          <wp:inline xmlns:a="http://schemas.openxmlformats.org/drawingml/2006/main" xmlns:pic="http://schemas.openxmlformats.org/drawingml/2006/picture">
            <wp:extent cx="3356857" cy="6949440"/>
            <wp:docPr id="60" name="Picture 60"/>
            <wp:cNvGraphicFramePr>
              <a:graphicFrameLocks noChangeAspect="1"/>
            </wp:cNvGraphicFramePr>
            <a:graphic>
              <a:graphicData uri="http://schemas.openxmlformats.org/drawingml/2006/picture">
                <pic:pic>
                  <pic:nvPicPr>
                    <pic:cNvPr id="0" name="51-permissions.png"/>
                    <pic:cNvPicPr/>
                  </pic:nvPicPr>
                  <pic:blipFill>
                    <a:blip r:embed="rId69"/>
                    <a:stretch>
                      <a:fillRect/>
                    </a:stretch>
                  </pic:blipFill>
                  <pic:spPr>
                    <a:xfrm>
                      <a:off x="0" y="0"/>
                      <a:ext cx="3356857" cy="6949440"/>
                    </a:xfrm>
                    <a:prstGeom prst="rect"/>
                  </pic:spPr>
                </pic:pic>
              </a:graphicData>
            </a:graphic>
          </wp:inline>
        </w:drawing>
      </w:r>
    </w:p>
    <w:p>
      <w:pPr>
        <w:spacing w:after="240"/>
        <w:jc w:val="center"/>
      </w:pPr>
      <w:r>
        <w:rPr>
          <w:i/>
          <w:color w:val="5B616E"/>
          <w:sz w:val="18"/>
        </w:rPr>
        <w:t>Figure 60. Settings → Permissions. Admin's column is ticked and locked; the rest are yours to set.</w:t>
      </w:r>
    </w:p>
    <w:p>
      <w:pPr>
        <w:pStyle w:val="ListNumber"/>
      </w:pPr>
      <w:r>
        <w:t>Tick or clear the capabilities you want a role to have. Nothing is sent yet — the count of changed roles appears at the bottom.</w:t>
      </w:r>
    </w:p>
    <w:p>
      <w:pPr>
        <w:pStyle w:val="ListNumber"/>
      </w:pPr>
      <w:r>
        <w:t>Press Save. Only the roles you touched are written, and each change is recorded in the system audit trail with what was granted and what was revoked.</w:t>
      </w:r>
    </w:p>
    <w:p>
      <w:pPr>
        <w:pStyle w:val="ListNumber"/>
      </w:pPr>
      <w:r>
        <w:t>The change applies to everyone holding that role on their next request. Nobody has to sign out.</w:t>
      </w:r>
    </w:p>
    <w:p>
      <w:r>
        <w:rPr>
          <w:b w:val="0"/>
          <w:i w:val="0"/>
        </w:rPr>
        <w:t>Add role creates a role with no permissions at all; tick what it may do and save. A role you created can be deleted from the header of its column — but not while any account still holds it, because moving those people somewhere is a decision, not a side effect of a delete.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four supplied roles can be re-permissioned but not renamed or deleted, and Admin cannot be edited at all. That last rule is what guarantees somebody can always open this page.</w:t>
            </w:r>
          </w:p>
        </w:tc>
      </w:tr>
    </w:tbl>
    <w:p/>
    <w:p>
      <w:r>
        <w:br w:type="page"/>
      </w:r>
    </w:p>
    <w:p>
      <w:pPr>
        <w:pStyle w:val="Heading1"/>
      </w:pPr>
      <w:r>
        <w:t>16.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or its group, directly or through a user group.</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17.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Bayan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