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2F" w:rsidRPr="005A062F" w:rsidRDefault="005A062F" w:rsidP="005A062F">
      <w:pPr>
        <w:shd w:val="clear" w:color="auto" w:fill="FFFFFF"/>
        <w:spacing w:before="100" w:beforeAutospacing="1" w:after="100" w:afterAutospacing="1"/>
        <w:outlineLvl w:val="0"/>
        <w:rPr>
          <w:rFonts w:eastAsia="Times New Roman" w:cs="Lucida Sans Unicode"/>
          <w:b/>
          <w:bCs/>
          <w:color w:val="40BCD6"/>
          <w:kern w:val="36"/>
          <w:lang w:eastAsia="nl-NL"/>
        </w:rPr>
      </w:pPr>
      <w:bookmarkStart w:id="0" w:name="_GoBack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Data Steward at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the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Faculty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of Technology, Policy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and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Management</w:t>
      </w:r>
    </w:p>
    <w:p w:rsidR="005A062F" w:rsidRPr="005A062F" w:rsidRDefault="005A062F" w:rsidP="005A062F">
      <w:pPr>
        <w:shd w:val="clear" w:color="auto" w:fill="FFFFFF"/>
        <w:spacing w:before="100" w:beforeAutospacing="1" w:after="100" w:afterAutospacing="1"/>
        <w:outlineLvl w:val="0"/>
        <w:rPr>
          <w:rFonts w:eastAsia="Times New Roman" w:cs="Lucida Sans Unicode"/>
          <w:b/>
          <w:bCs/>
          <w:color w:val="40BCD6"/>
          <w:kern w:val="36"/>
          <w:lang w:eastAsia="nl-NL"/>
        </w:rPr>
      </w:pPr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Data Steward at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the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Faculty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of Technology, Policy </w:t>
      </w:r>
      <w:proofErr w:type="spellStart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>and</w:t>
      </w:r>
      <w:proofErr w:type="spellEnd"/>
      <w:r w:rsidRPr="005A062F">
        <w:rPr>
          <w:rFonts w:eastAsia="Times New Roman" w:cs="Lucida Sans Unicode"/>
          <w:b/>
          <w:bCs/>
          <w:color w:val="40BCD6"/>
          <w:kern w:val="36"/>
          <w:lang w:eastAsia="nl-NL"/>
        </w:rPr>
        <w:t xml:space="preserve">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33"/>
        <w:gridCol w:w="1214"/>
      </w:tblGrid>
      <w:tr w:rsidR="005A062F" w:rsidRPr="005A062F" w:rsidTr="005A062F">
        <w:trPr>
          <w:tblCellSpacing w:w="15" w:type="dxa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b/>
                <w:bCs/>
                <w:lang w:eastAsia="nl-NL"/>
              </w:rPr>
            </w:pPr>
            <w:proofErr w:type="spellStart"/>
            <w:r w:rsidRPr="005A062F">
              <w:rPr>
                <w:rFonts w:eastAsia="Times New Roman" w:cs="Times New Roman"/>
                <w:b/>
                <w:bCs/>
                <w:lang w:eastAsia="nl-NL"/>
              </w:rPr>
              <w:t>Published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b/>
                <w:bCs/>
                <w:lang w:eastAsia="nl-NL"/>
              </w:rPr>
            </w:pPr>
            <w:r w:rsidRPr="005A062F">
              <w:rPr>
                <w:rFonts w:eastAsia="Times New Roman" w:cs="Times New Roman"/>
                <w:b/>
                <w:bCs/>
                <w:lang w:eastAsia="nl-NL"/>
              </w:rPr>
              <w:t>Deadline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b/>
                <w:bCs/>
                <w:lang w:eastAsia="nl-NL"/>
              </w:rPr>
            </w:pPr>
            <w:proofErr w:type="spellStart"/>
            <w:r w:rsidRPr="005A062F">
              <w:rPr>
                <w:rFonts w:eastAsia="Times New Roman" w:cs="Times New Roman"/>
                <w:b/>
                <w:bCs/>
                <w:lang w:eastAsia="nl-NL"/>
              </w:rPr>
              <w:t>Location</w:t>
            </w:r>
            <w:proofErr w:type="spellEnd"/>
          </w:p>
        </w:tc>
      </w:tr>
      <w:tr w:rsidR="005A062F" w:rsidRPr="005A062F" w:rsidTr="005A062F">
        <w:trPr>
          <w:tblCellSpacing w:w="15" w:type="dxa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lang w:eastAsia="nl-NL"/>
              </w:rPr>
            </w:pPr>
            <w:proofErr w:type="spellStart"/>
            <w:r w:rsidRPr="005A062F">
              <w:rPr>
                <w:rFonts w:eastAsia="Times New Roman" w:cs="Times New Roman"/>
                <w:lang w:eastAsia="nl-NL"/>
              </w:rPr>
              <w:t>yesterday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lang w:eastAsia="nl-NL"/>
              </w:rPr>
            </w:pPr>
            <w:r w:rsidRPr="005A062F">
              <w:rPr>
                <w:rFonts w:eastAsia="Times New Roman" w:cs="Times New Roman"/>
                <w:lang w:eastAsia="nl-NL"/>
              </w:rPr>
              <w:t>2 Dec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15" w:type="dxa"/>
              <w:right w:w="375" w:type="dxa"/>
            </w:tcMar>
            <w:hideMark/>
          </w:tcPr>
          <w:p w:rsidR="005A062F" w:rsidRPr="005A062F" w:rsidRDefault="005A062F" w:rsidP="005A062F">
            <w:pPr>
              <w:rPr>
                <w:rFonts w:eastAsia="Times New Roman" w:cs="Times New Roman"/>
                <w:lang w:eastAsia="nl-NL"/>
              </w:rPr>
            </w:pPr>
            <w:r w:rsidRPr="005A062F">
              <w:rPr>
                <w:rFonts w:eastAsia="Times New Roman" w:cs="Times New Roman"/>
                <w:lang w:eastAsia="nl-NL"/>
              </w:rPr>
              <w:t>Delft</w:t>
            </w:r>
          </w:p>
        </w:tc>
      </w:tr>
    </w:tbl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JOB DESCRIPTION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Your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main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task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is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advise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data management.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: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Act as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spokesperson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create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awareness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explain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added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value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good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management.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Lead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development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implementation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faculty’s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management policy,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understanding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faculty-specific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needs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Assist in planning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collection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management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publication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data in research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projects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Explore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analyse trends in research data management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specific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Advise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short-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long-term actions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advance research data management at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across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university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Develop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run training events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tailored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’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needs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inspire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participate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Assess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report 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progress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project.</w:t>
      </w:r>
    </w:p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REQUIREMENTS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We 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looking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candidates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experienced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research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methodologies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relevant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faculty's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research. The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candidates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:</w:t>
      </w:r>
    </w:p>
    <w:p w:rsidR="005A062F" w:rsidRPr="005A062F" w:rsidRDefault="005A062F" w:rsidP="005A06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Have (or 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studying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) a PhD in a relevant subject area (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desirable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).</w:t>
      </w:r>
    </w:p>
    <w:p w:rsidR="005A062F" w:rsidRPr="005A062F" w:rsidRDefault="005A062F" w:rsidP="005A06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Have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experience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in managing research data (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both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qualitative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quantitative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). Knowledge of software management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would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plus.</w:t>
      </w:r>
    </w:p>
    <w:p w:rsidR="005A062F" w:rsidRPr="005A062F" w:rsidRDefault="005A062F" w:rsidP="005A06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Have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broad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understanding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how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research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operates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how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software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underpins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reproducible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research.</w:t>
      </w:r>
    </w:p>
    <w:p w:rsidR="005A062F" w:rsidRPr="005A062F" w:rsidRDefault="005A062F" w:rsidP="005A06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Are excellent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communicators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able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speak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not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only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but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also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other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support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staff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sensitive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organisation-specific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culture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practices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CONDITIONS OF EMPLOYMENT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This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position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has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amount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38 (1,0 fte)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working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hours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per week. The offer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contains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 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temporary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appointment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1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year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prospect of extension. The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salary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is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based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scale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10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minimum of € 2.640,-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maximum of € 4.166,- per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month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a fulltime basis. The TU Delft offers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customisable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compensation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package, a discount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health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insurance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sport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memberships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monthly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work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costs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contribution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Flexible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work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schedules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arranged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An International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Children’s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Centre offers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child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international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primary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school. Dual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Career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Services offers support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accompanying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partners.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Salary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benefits are in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accordance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Collective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Labour Agreement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Dutch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Universities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EMPLOYER</w:t>
      </w:r>
    </w:p>
    <w:p w:rsidR="005A062F" w:rsidRPr="005A062F" w:rsidRDefault="005A062F" w:rsidP="005A062F">
      <w:pPr>
        <w:shd w:val="clear" w:color="auto" w:fill="FFFFFF"/>
        <w:spacing w:before="100" w:beforeAutospacing="1" w:after="100" w:afterAutospacing="1"/>
        <w:outlineLvl w:val="3"/>
        <w:rPr>
          <w:rFonts w:eastAsia="Times New Roman" w:cs="Lucida Sans Unicode"/>
          <w:b/>
          <w:bCs/>
          <w:color w:val="3B3A3A"/>
          <w:lang w:eastAsia="nl-NL"/>
        </w:rPr>
      </w:pPr>
      <w:r w:rsidRPr="005A062F">
        <w:rPr>
          <w:rFonts w:eastAsia="Times New Roman" w:cs="Lucida Sans Unicode"/>
          <w:b/>
          <w:bCs/>
          <w:color w:val="3B3A3A"/>
          <w:lang w:eastAsia="nl-NL"/>
        </w:rPr>
        <w:t>Delft University of Technology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lastRenderedPageBreak/>
        <w:t xml:space="preserve">Delft University of Technology (TU Delft) is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multifaceted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institution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offering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education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carrying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out research in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technical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sciences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internationally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recognised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level. Education, research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design 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strongly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oriented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towards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applicability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TU Delft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develops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technologies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future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generations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focusing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sustainability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safety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economic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vitality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At TU Delft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work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in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environment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where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technical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sciences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society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converge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TU Delft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comprises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eight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unique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laboratories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research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institutes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schools.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hyperlink r:id="rId6" w:history="1">
        <w:r w:rsidRPr="005A062F">
          <w:rPr>
            <w:rFonts w:eastAsia="Times New Roman" w:cs="Lucida Sans Unicode"/>
            <w:color w:val="40BCD6"/>
            <w:lang w:eastAsia="nl-NL"/>
          </w:rPr>
          <w:t>https://www.tudelft.nl</w:t>
        </w:r>
      </w:hyperlink>
    </w:p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DEPARTMENT</w:t>
      </w:r>
    </w:p>
    <w:p w:rsidR="005A062F" w:rsidRPr="005A062F" w:rsidRDefault="005A062F" w:rsidP="005A062F">
      <w:pPr>
        <w:shd w:val="clear" w:color="auto" w:fill="FFFFFF"/>
        <w:spacing w:before="100" w:beforeAutospacing="1" w:after="100" w:afterAutospacing="1"/>
        <w:outlineLvl w:val="3"/>
        <w:rPr>
          <w:rFonts w:eastAsia="Times New Roman" w:cs="Lucida Sans Unicode"/>
          <w:b/>
          <w:bCs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b/>
          <w:bCs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b/>
          <w:bCs/>
          <w:color w:val="3B3A3A"/>
          <w:lang w:eastAsia="nl-NL"/>
        </w:rPr>
        <w:t xml:space="preserve"> Technology, Policy </w:t>
      </w:r>
      <w:proofErr w:type="spellStart"/>
      <w:r w:rsidRPr="005A062F">
        <w:rPr>
          <w:rFonts w:eastAsia="Times New Roman" w:cs="Lucida Sans Unicode"/>
          <w:b/>
          <w:bCs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b/>
          <w:bCs/>
          <w:color w:val="3B3A3A"/>
          <w:lang w:eastAsia="nl-NL"/>
        </w:rPr>
        <w:t xml:space="preserve"> Management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The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Technology, Policy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Management (TPM)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develops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robust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models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designs,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solve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complex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challenges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today’s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networked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society. TPM combines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insights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from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engineering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sciences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insights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from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humanities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social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sciences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hyperlink r:id="rId7" w:history="1">
        <w:r w:rsidRPr="005A062F">
          <w:rPr>
            <w:rFonts w:eastAsia="Times New Roman" w:cs="Lucida Sans Unicode"/>
            <w:color w:val="40BCD6"/>
            <w:lang w:eastAsia="nl-NL"/>
          </w:rPr>
          <w:t>https://www.tudelft.nl/en/tpm/</w:t>
        </w:r>
      </w:hyperlink>
    </w:p>
    <w:p w:rsidR="005A062F" w:rsidRPr="005A062F" w:rsidRDefault="005A062F" w:rsidP="005A062F">
      <w:pPr>
        <w:pBdr>
          <w:bottom w:val="single" w:sz="6" w:space="0" w:color="EEA24C"/>
        </w:pBdr>
        <w:shd w:val="clear" w:color="auto" w:fill="FFFFFF"/>
        <w:spacing w:before="100" w:beforeAutospacing="1" w:after="100" w:afterAutospacing="1"/>
        <w:outlineLvl w:val="1"/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</w:pPr>
      <w:r w:rsidRPr="005A062F">
        <w:rPr>
          <w:rFonts w:eastAsia="Times New Roman" w:cs="Lucida Sans Unicode"/>
          <w:b/>
          <w:bCs/>
          <w:caps/>
          <w:color w:val="EEA24C"/>
          <w:spacing w:val="15"/>
          <w:lang w:eastAsia="nl-NL"/>
        </w:rPr>
        <w:t>ADDITIONAL INFORMATION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TU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Delft’s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Stewardship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project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aims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addressing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management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needs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across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campus in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disciplinary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manner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appointing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subject-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specific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Steward at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every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TU Delft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We are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now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looking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appoint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Data Steward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faculty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of Technology, Policy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Management. The Data Steward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take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lead in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engaging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researchers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in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better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data management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practices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.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More information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about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project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found here: </w:t>
      </w:r>
      <w:hyperlink r:id="rId8" w:history="1">
        <w:r w:rsidRPr="005A062F">
          <w:rPr>
            <w:rFonts w:eastAsia="Times New Roman" w:cs="Lucida Sans Unicode"/>
            <w:color w:val="40BCD6"/>
            <w:lang w:eastAsia="nl-NL"/>
          </w:rPr>
          <w:t>https://www.tudelft.nl/en/library/current-topics/research-data-management/research-data-management/data-stewardship/</w:t>
        </w:r>
      </w:hyperlink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r w:rsidRPr="005A062F">
        <w:rPr>
          <w:rFonts w:eastAsia="Times New Roman" w:cs="Lucida Sans Unicode"/>
          <w:color w:val="3B3A3A"/>
          <w:lang w:eastAsia="nl-NL"/>
        </w:rPr>
        <w:t xml:space="preserve">For more information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about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this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position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please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contact Marta Teperek, Data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Stewardship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Coordinator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, e-mail: </w:t>
      </w:r>
      <w:hyperlink r:id="rId9" w:history="1">
        <w:r w:rsidRPr="005A062F">
          <w:rPr>
            <w:rFonts w:eastAsia="Times New Roman" w:cs="Lucida Sans Unicode"/>
            <w:color w:val="40BCD6"/>
            <w:lang w:eastAsia="nl-NL"/>
          </w:rPr>
          <w:t>m.teperek@tudelft.nl</w:t>
        </w:r>
      </w:hyperlink>
      <w:r w:rsidRPr="005A062F">
        <w:rPr>
          <w:rFonts w:eastAsia="Times New Roman" w:cs="Lucida Sans Unicode"/>
          <w:color w:val="3B3A3A"/>
          <w:lang w:eastAsia="nl-NL"/>
        </w:rPr>
        <w:t xml:space="preserve">. For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informal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questions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about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job, contact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Shalini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Kurapati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current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role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holder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, e-mail: </w:t>
      </w:r>
      <w:hyperlink r:id="rId10" w:history="1">
        <w:r w:rsidRPr="005A062F">
          <w:rPr>
            <w:rFonts w:eastAsia="Times New Roman" w:cs="Lucida Sans Unicode"/>
            <w:color w:val="40BCD6"/>
            <w:lang w:eastAsia="nl-NL"/>
          </w:rPr>
          <w:t>S.Kurapati@tudelft.nl</w:t>
        </w:r>
      </w:hyperlink>
      <w:r w:rsidRPr="005A062F">
        <w:rPr>
          <w:rFonts w:eastAsia="Times New Roman" w:cs="Lucida Sans Unicode"/>
          <w:color w:val="3B3A3A"/>
          <w:lang w:eastAsia="nl-NL"/>
        </w:rPr>
        <w:t xml:space="preserve">. For more information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about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selection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procedure,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please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contact Ruth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Vidal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, e-mail: </w:t>
      </w:r>
      <w:hyperlink r:id="rId11" w:history="1">
        <w:r w:rsidRPr="005A062F">
          <w:rPr>
            <w:rFonts w:eastAsia="Times New Roman" w:cs="Lucida Sans Unicode"/>
            <w:color w:val="40BCD6"/>
            <w:lang w:eastAsia="nl-NL"/>
          </w:rPr>
          <w:t>po.ud@tudelft.nl</w:t>
        </w:r>
      </w:hyperlink>
      <w:r w:rsidRPr="005A062F">
        <w:rPr>
          <w:rFonts w:eastAsia="Times New Roman" w:cs="Lucida Sans Unicode"/>
          <w:color w:val="3B3A3A"/>
          <w:lang w:eastAsia="nl-NL"/>
        </w:rPr>
        <w:t xml:space="preserve">.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apply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please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e-mail a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detailed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CV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along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 letter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motivation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2 December 2018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> Marta Teperek, e-mail: </w:t>
      </w:r>
      <w:hyperlink r:id="rId12" w:history="1">
        <w:r w:rsidRPr="005A062F">
          <w:rPr>
            <w:rFonts w:eastAsia="Times New Roman" w:cs="Lucida Sans Unicode"/>
            <w:color w:val="40BCD6"/>
            <w:lang w:eastAsia="nl-NL"/>
          </w:rPr>
          <w:t>po.ud@tudelft.nl</w:t>
        </w:r>
      </w:hyperlink>
      <w:r w:rsidRPr="005A062F">
        <w:rPr>
          <w:rFonts w:eastAsia="Times New Roman" w:cs="Lucida Sans Unicode"/>
          <w:color w:val="3B3A3A"/>
          <w:lang w:eastAsia="nl-NL"/>
        </w:rPr>
        <w:t>.  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Please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name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CV 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letter of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motivation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with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your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first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and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last name. Incomplete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applications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not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considered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.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When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applying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for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this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position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,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please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 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refer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to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vacancy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number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AT/UD/TUDL/2018-15. </w:t>
      </w:r>
    </w:p>
    <w:p w:rsidR="005A062F" w:rsidRPr="005A062F" w:rsidRDefault="005A062F" w:rsidP="005A062F">
      <w:pPr>
        <w:shd w:val="clear" w:color="auto" w:fill="FFFFFF"/>
        <w:spacing w:after="100" w:afterAutospacing="1"/>
        <w:rPr>
          <w:rFonts w:eastAsia="Times New Roman" w:cs="Lucida Sans Unicode"/>
          <w:color w:val="3B3A3A"/>
          <w:lang w:eastAsia="nl-NL"/>
        </w:rPr>
      </w:pPr>
      <w:proofErr w:type="spellStart"/>
      <w:r w:rsidRPr="005A062F">
        <w:rPr>
          <w:rFonts w:eastAsia="Times New Roman" w:cs="Lucida Sans Unicode"/>
          <w:color w:val="3B3A3A"/>
          <w:lang w:eastAsia="nl-NL"/>
        </w:rPr>
        <w:t>Shortlisted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candidates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be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notified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 7 December 2018. The interviews 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will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take  </w:t>
      </w:r>
      <w:proofErr w:type="spellStart"/>
      <w:r w:rsidRPr="005A062F">
        <w:rPr>
          <w:rFonts w:eastAsia="Times New Roman" w:cs="Lucida Sans Unicode"/>
          <w:color w:val="3B3A3A"/>
          <w:lang w:eastAsia="nl-NL"/>
        </w:rPr>
        <w:t>place</w:t>
      </w:r>
      <w:proofErr w:type="spellEnd"/>
      <w:r w:rsidRPr="005A062F">
        <w:rPr>
          <w:rFonts w:eastAsia="Times New Roman" w:cs="Lucida Sans Unicode"/>
          <w:color w:val="3B3A3A"/>
          <w:lang w:eastAsia="nl-NL"/>
        </w:rPr>
        <w:t xml:space="preserve"> on 13 December 2018.</w:t>
      </w:r>
    </w:p>
    <w:bookmarkEnd w:id="0"/>
    <w:p w:rsidR="00AE50B3" w:rsidRPr="005A062F" w:rsidRDefault="00AE50B3"/>
    <w:sectPr w:rsidR="00AE50B3" w:rsidRPr="005A0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2BA"/>
    <w:multiLevelType w:val="multilevel"/>
    <w:tmpl w:val="D99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55C00"/>
    <w:multiLevelType w:val="multilevel"/>
    <w:tmpl w:val="5E8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2F"/>
    <w:rsid w:val="00032AAE"/>
    <w:rsid w:val="00043A83"/>
    <w:rsid w:val="00053D04"/>
    <w:rsid w:val="00060D76"/>
    <w:rsid w:val="00066289"/>
    <w:rsid w:val="00070D7F"/>
    <w:rsid w:val="00075F0D"/>
    <w:rsid w:val="000903B7"/>
    <w:rsid w:val="000A6C80"/>
    <w:rsid w:val="000C3FE2"/>
    <w:rsid w:val="000E6DDF"/>
    <w:rsid w:val="000F678E"/>
    <w:rsid w:val="000F723A"/>
    <w:rsid w:val="00102E79"/>
    <w:rsid w:val="001057C7"/>
    <w:rsid w:val="00114FB2"/>
    <w:rsid w:val="00137E91"/>
    <w:rsid w:val="00143BC7"/>
    <w:rsid w:val="00151DB1"/>
    <w:rsid w:val="00160695"/>
    <w:rsid w:val="00162794"/>
    <w:rsid w:val="001646BE"/>
    <w:rsid w:val="0017759D"/>
    <w:rsid w:val="00184BA7"/>
    <w:rsid w:val="00187269"/>
    <w:rsid w:val="00196D15"/>
    <w:rsid w:val="001973ED"/>
    <w:rsid w:val="001A3436"/>
    <w:rsid w:val="001C731D"/>
    <w:rsid w:val="001E3FF6"/>
    <w:rsid w:val="001E47AA"/>
    <w:rsid w:val="0021017F"/>
    <w:rsid w:val="00213236"/>
    <w:rsid w:val="00224930"/>
    <w:rsid w:val="002323B7"/>
    <w:rsid w:val="00247E0C"/>
    <w:rsid w:val="00250662"/>
    <w:rsid w:val="00253E05"/>
    <w:rsid w:val="00263639"/>
    <w:rsid w:val="00264148"/>
    <w:rsid w:val="00267713"/>
    <w:rsid w:val="002873F8"/>
    <w:rsid w:val="002A24C6"/>
    <w:rsid w:val="002B4C30"/>
    <w:rsid w:val="002F1202"/>
    <w:rsid w:val="0030065C"/>
    <w:rsid w:val="003217C3"/>
    <w:rsid w:val="00325A16"/>
    <w:rsid w:val="0037651A"/>
    <w:rsid w:val="00384CCF"/>
    <w:rsid w:val="00394FAC"/>
    <w:rsid w:val="003A770F"/>
    <w:rsid w:val="003D7EC7"/>
    <w:rsid w:val="003F0575"/>
    <w:rsid w:val="00407661"/>
    <w:rsid w:val="0041641F"/>
    <w:rsid w:val="00421814"/>
    <w:rsid w:val="00424A99"/>
    <w:rsid w:val="00426EEE"/>
    <w:rsid w:val="0044253F"/>
    <w:rsid w:val="00462567"/>
    <w:rsid w:val="00465911"/>
    <w:rsid w:val="004678FB"/>
    <w:rsid w:val="0047723E"/>
    <w:rsid w:val="00482327"/>
    <w:rsid w:val="0049456C"/>
    <w:rsid w:val="004957EC"/>
    <w:rsid w:val="004A10AD"/>
    <w:rsid w:val="004B31E8"/>
    <w:rsid w:val="004B6DE1"/>
    <w:rsid w:val="004E1939"/>
    <w:rsid w:val="004E7998"/>
    <w:rsid w:val="004F3099"/>
    <w:rsid w:val="004F36D4"/>
    <w:rsid w:val="004F7283"/>
    <w:rsid w:val="0050532C"/>
    <w:rsid w:val="0052770F"/>
    <w:rsid w:val="00532A25"/>
    <w:rsid w:val="00532D35"/>
    <w:rsid w:val="00542467"/>
    <w:rsid w:val="005652CE"/>
    <w:rsid w:val="00582061"/>
    <w:rsid w:val="005840BD"/>
    <w:rsid w:val="005A062F"/>
    <w:rsid w:val="005A6DE5"/>
    <w:rsid w:val="005C4166"/>
    <w:rsid w:val="005F7A63"/>
    <w:rsid w:val="0060283C"/>
    <w:rsid w:val="00602976"/>
    <w:rsid w:val="0062095E"/>
    <w:rsid w:val="00635157"/>
    <w:rsid w:val="00647880"/>
    <w:rsid w:val="00653167"/>
    <w:rsid w:val="006550B5"/>
    <w:rsid w:val="006607F5"/>
    <w:rsid w:val="00665C47"/>
    <w:rsid w:val="00672802"/>
    <w:rsid w:val="006B3C00"/>
    <w:rsid w:val="006C054E"/>
    <w:rsid w:val="006C2643"/>
    <w:rsid w:val="006C316A"/>
    <w:rsid w:val="006D4206"/>
    <w:rsid w:val="006E7A69"/>
    <w:rsid w:val="007202C3"/>
    <w:rsid w:val="007224A1"/>
    <w:rsid w:val="0073556B"/>
    <w:rsid w:val="007610F1"/>
    <w:rsid w:val="007666D0"/>
    <w:rsid w:val="00772C05"/>
    <w:rsid w:val="0077436B"/>
    <w:rsid w:val="00774DB3"/>
    <w:rsid w:val="0077571A"/>
    <w:rsid w:val="00783FA2"/>
    <w:rsid w:val="00786432"/>
    <w:rsid w:val="007911E9"/>
    <w:rsid w:val="007975E4"/>
    <w:rsid w:val="007A4134"/>
    <w:rsid w:val="007B7BDC"/>
    <w:rsid w:val="007E21B5"/>
    <w:rsid w:val="007E34AF"/>
    <w:rsid w:val="007F08A8"/>
    <w:rsid w:val="00801C07"/>
    <w:rsid w:val="008065C5"/>
    <w:rsid w:val="00806604"/>
    <w:rsid w:val="008240DB"/>
    <w:rsid w:val="00825446"/>
    <w:rsid w:val="00833CDD"/>
    <w:rsid w:val="008602B7"/>
    <w:rsid w:val="0086258E"/>
    <w:rsid w:val="00871085"/>
    <w:rsid w:val="00880412"/>
    <w:rsid w:val="0089415D"/>
    <w:rsid w:val="008A6819"/>
    <w:rsid w:val="008E1F16"/>
    <w:rsid w:val="008E7E0B"/>
    <w:rsid w:val="009107D0"/>
    <w:rsid w:val="00914469"/>
    <w:rsid w:val="00931330"/>
    <w:rsid w:val="00937BAE"/>
    <w:rsid w:val="009639B1"/>
    <w:rsid w:val="00975D20"/>
    <w:rsid w:val="0098065C"/>
    <w:rsid w:val="00997A02"/>
    <w:rsid w:val="009A3D8F"/>
    <w:rsid w:val="009B20F5"/>
    <w:rsid w:val="009B6B37"/>
    <w:rsid w:val="009C6F90"/>
    <w:rsid w:val="009E445A"/>
    <w:rsid w:val="009F1931"/>
    <w:rsid w:val="009F2B17"/>
    <w:rsid w:val="00A13FE5"/>
    <w:rsid w:val="00A148FA"/>
    <w:rsid w:val="00A17903"/>
    <w:rsid w:val="00A17E69"/>
    <w:rsid w:val="00A3108A"/>
    <w:rsid w:val="00A45BBE"/>
    <w:rsid w:val="00A5139E"/>
    <w:rsid w:val="00A61A19"/>
    <w:rsid w:val="00A66DDE"/>
    <w:rsid w:val="00A772D0"/>
    <w:rsid w:val="00A83E54"/>
    <w:rsid w:val="00A922F2"/>
    <w:rsid w:val="00A96985"/>
    <w:rsid w:val="00AB2008"/>
    <w:rsid w:val="00AC36C9"/>
    <w:rsid w:val="00AE50B3"/>
    <w:rsid w:val="00AF2E4D"/>
    <w:rsid w:val="00B006D2"/>
    <w:rsid w:val="00B2550E"/>
    <w:rsid w:val="00B351DD"/>
    <w:rsid w:val="00B5333A"/>
    <w:rsid w:val="00B53956"/>
    <w:rsid w:val="00B54160"/>
    <w:rsid w:val="00B60477"/>
    <w:rsid w:val="00B77538"/>
    <w:rsid w:val="00B83DAC"/>
    <w:rsid w:val="00B8618A"/>
    <w:rsid w:val="00B94E7B"/>
    <w:rsid w:val="00BA6D13"/>
    <w:rsid w:val="00BB6A59"/>
    <w:rsid w:val="00BD12F1"/>
    <w:rsid w:val="00BD1FB6"/>
    <w:rsid w:val="00BF27FC"/>
    <w:rsid w:val="00C057A3"/>
    <w:rsid w:val="00C0638E"/>
    <w:rsid w:val="00C12AF0"/>
    <w:rsid w:val="00C233AC"/>
    <w:rsid w:val="00C24C5B"/>
    <w:rsid w:val="00C24E5E"/>
    <w:rsid w:val="00C319F2"/>
    <w:rsid w:val="00C32555"/>
    <w:rsid w:val="00C331C5"/>
    <w:rsid w:val="00C355E2"/>
    <w:rsid w:val="00C405C7"/>
    <w:rsid w:val="00C4220B"/>
    <w:rsid w:val="00C45EFC"/>
    <w:rsid w:val="00C54EE8"/>
    <w:rsid w:val="00C639E7"/>
    <w:rsid w:val="00C66064"/>
    <w:rsid w:val="00C86C91"/>
    <w:rsid w:val="00C87B3D"/>
    <w:rsid w:val="00C93FDF"/>
    <w:rsid w:val="00C9465A"/>
    <w:rsid w:val="00CA05A6"/>
    <w:rsid w:val="00CE2FD8"/>
    <w:rsid w:val="00CE3FE0"/>
    <w:rsid w:val="00CE5A0F"/>
    <w:rsid w:val="00CF3EA7"/>
    <w:rsid w:val="00CF497A"/>
    <w:rsid w:val="00D01BB9"/>
    <w:rsid w:val="00D439AB"/>
    <w:rsid w:val="00D44316"/>
    <w:rsid w:val="00D44F14"/>
    <w:rsid w:val="00D4540F"/>
    <w:rsid w:val="00D465AC"/>
    <w:rsid w:val="00D53662"/>
    <w:rsid w:val="00D63CB8"/>
    <w:rsid w:val="00D74CFB"/>
    <w:rsid w:val="00D805B0"/>
    <w:rsid w:val="00DA4AC0"/>
    <w:rsid w:val="00DB3E70"/>
    <w:rsid w:val="00DC06A8"/>
    <w:rsid w:val="00DD5A08"/>
    <w:rsid w:val="00E15B4C"/>
    <w:rsid w:val="00E27826"/>
    <w:rsid w:val="00E37911"/>
    <w:rsid w:val="00E4378B"/>
    <w:rsid w:val="00E5516F"/>
    <w:rsid w:val="00E62B0C"/>
    <w:rsid w:val="00E66BD3"/>
    <w:rsid w:val="00E93D28"/>
    <w:rsid w:val="00EA5BBA"/>
    <w:rsid w:val="00ED1F05"/>
    <w:rsid w:val="00ED494A"/>
    <w:rsid w:val="00ED5699"/>
    <w:rsid w:val="00EE5E13"/>
    <w:rsid w:val="00F1735F"/>
    <w:rsid w:val="00F23E16"/>
    <w:rsid w:val="00F272EA"/>
    <w:rsid w:val="00F33151"/>
    <w:rsid w:val="00F33203"/>
    <w:rsid w:val="00F70388"/>
    <w:rsid w:val="00F718A0"/>
    <w:rsid w:val="00F72237"/>
    <w:rsid w:val="00FA4B09"/>
    <w:rsid w:val="00FC0E03"/>
    <w:rsid w:val="00FD1354"/>
    <w:rsid w:val="00FD55E9"/>
    <w:rsid w:val="00FE06E2"/>
    <w:rsid w:val="00FE3A23"/>
    <w:rsid w:val="00FF2223"/>
    <w:rsid w:val="00FF5421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20F5"/>
    <w:pPr>
      <w:spacing w:after="0" w:line="240" w:lineRule="auto"/>
    </w:pPr>
  </w:style>
  <w:style w:type="paragraph" w:styleId="Kop1">
    <w:name w:val="heading 1"/>
    <w:basedOn w:val="Standaard"/>
    <w:link w:val="Kop1Char"/>
    <w:uiPriority w:val="9"/>
    <w:qFormat/>
    <w:rsid w:val="005A06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5A06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link w:val="Kop4Char"/>
    <w:uiPriority w:val="9"/>
    <w:qFormat/>
    <w:rsid w:val="005A06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062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A062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5A062F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A06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5A06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20F5"/>
    <w:pPr>
      <w:spacing w:after="0" w:line="240" w:lineRule="auto"/>
    </w:pPr>
  </w:style>
  <w:style w:type="paragraph" w:styleId="Kop1">
    <w:name w:val="heading 1"/>
    <w:basedOn w:val="Standaard"/>
    <w:link w:val="Kop1Char"/>
    <w:uiPriority w:val="9"/>
    <w:qFormat/>
    <w:rsid w:val="005A06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5A06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link w:val="Kop4Char"/>
    <w:uiPriority w:val="9"/>
    <w:qFormat/>
    <w:rsid w:val="005A06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062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A062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5A062F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A06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5A0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267">
          <w:marLeft w:val="-16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delft.nl/en/library/current-topics/research-data-management/research-data-management/data-stewardship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delft.nl/en/tpm/" TargetMode="External"/><Relationship Id="rId12" Type="http://schemas.openxmlformats.org/officeDocument/2006/relationships/hyperlink" Target="mailto:po.ud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elft.nl/" TargetMode="External"/><Relationship Id="rId11" Type="http://schemas.openxmlformats.org/officeDocument/2006/relationships/hyperlink" Target="mailto:po.ud@tudelft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.Kurapati@tudelft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c.dunning@tudelft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Scholtens, S (medgen)</dc:creator>
  <cp:lastModifiedBy>Scholtens, S (medgen)</cp:lastModifiedBy>
  <cp:revision>1</cp:revision>
  <dcterms:created xsi:type="dcterms:W3CDTF">2018-11-01T08:31:00Z</dcterms:created>
  <dcterms:modified xsi:type="dcterms:W3CDTF">2018-11-01T08:32:00Z</dcterms:modified>
</cp:coreProperties>
</file>