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A0C3" w14:textId="6EB96CB3" w:rsidR="0097509E" w:rsidRDefault="006E6FD3">
      <w:pPr>
        <w:spacing w:before="41" w:line="388" w:lineRule="auto"/>
        <w:ind w:left="100" w:right="35"/>
        <w:rPr>
          <w:b/>
          <w:sz w:val="24"/>
        </w:rPr>
      </w:pPr>
      <w:r>
        <w:rPr>
          <w:b/>
          <w:sz w:val="24"/>
        </w:rPr>
        <w:t>(Read</w:t>
      </w:r>
      <w:r>
        <w:rPr>
          <w:b/>
          <w:spacing w:val="-10"/>
          <w:sz w:val="24"/>
        </w:rPr>
        <w:t xml:space="preserve"> </w:t>
      </w:r>
      <w:r>
        <w:rPr>
          <w:b/>
          <w:sz w:val="24"/>
        </w:rPr>
        <w:t>readme.md</w:t>
      </w:r>
      <w:r>
        <w:rPr>
          <w:b/>
          <w:spacing w:val="-9"/>
          <w:sz w:val="24"/>
        </w:rPr>
        <w:t xml:space="preserve"> </w:t>
      </w:r>
      <w:r>
        <w:rPr>
          <w:b/>
          <w:sz w:val="24"/>
        </w:rPr>
        <w:t>file</w:t>
      </w:r>
      <w:r>
        <w:rPr>
          <w:b/>
          <w:spacing w:val="-11"/>
          <w:sz w:val="24"/>
        </w:rPr>
        <w:t xml:space="preserve"> </w:t>
      </w:r>
      <w:r>
        <w:rPr>
          <w:b/>
          <w:sz w:val="24"/>
        </w:rPr>
        <w:t>first)</w:t>
      </w:r>
      <w:r>
        <w:rPr>
          <w:b/>
          <w:spacing w:val="-51"/>
          <w:sz w:val="24"/>
        </w:rPr>
        <w:t xml:space="preserve"> </w:t>
      </w:r>
      <w:r w:rsidR="00A527B4">
        <w:rPr>
          <w:b/>
          <w:sz w:val="24"/>
        </w:rPr>
        <w:t>Mohini Swami</w:t>
      </w:r>
    </w:p>
    <w:p w14:paraId="1EACA0C4" w14:textId="77777777" w:rsidR="0097509E" w:rsidRDefault="006E6FD3">
      <w:pPr>
        <w:spacing w:before="4"/>
        <w:ind w:left="100"/>
        <w:rPr>
          <w:b/>
          <w:sz w:val="24"/>
        </w:rPr>
      </w:pPr>
      <w:r>
        <w:rPr>
          <w:b/>
          <w:sz w:val="24"/>
        </w:rPr>
        <w:t>MBA(BA)</w:t>
      </w:r>
    </w:p>
    <w:p w14:paraId="1EACA0C5" w14:textId="77777777" w:rsidR="0097509E" w:rsidRDefault="006E6FD3">
      <w:pPr>
        <w:spacing w:before="182"/>
        <w:ind w:left="100"/>
        <w:rPr>
          <w:b/>
          <w:sz w:val="24"/>
        </w:rPr>
      </w:pPr>
      <w:r>
        <w:rPr>
          <w:b/>
          <w:sz w:val="24"/>
        </w:rPr>
        <w:t>IIFT</w:t>
      </w:r>
      <w:r>
        <w:rPr>
          <w:b/>
          <w:spacing w:val="-3"/>
          <w:sz w:val="24"/>
        </w:rPr>
        <w:t xml:space="preserve"> </w:t>
      </w:r>
      <w:r>
        <w:rPr>
          <w:b/>
          <w:sz w:val="24"/>
        </w:rPr>
        <w:t>Delhi</w:t>
      </w:r>
    </w:p>
    <w:p w14:paraId="1EACA0C6" w14:textId="77777777" w:rsidR="0097509E" w:rsidRDefault="006E6FD3">
      <w:pPr>
        <w:pStyle w:val="BodyText"/>
        <w:ind w:left="0"/>
        <w:rPr>
          <w:b/>
        </w:rPr>
      </w:pPr>
      <w:r>
        <w:br w:type="column"/>
      </w:r>
    </w:p>
    <w:p w14:paraId="1EACA0C7" w14:textId="77777777" w:rsidR="0097509E" w:rsidRDefault="0097509E">
      <w:pPr>
        <w:pStyle w:val="BodyText"/>
        <w:ind w:left="0"/>
        <w:rPr>
          <w:b/>
        </w:rPr>
      </w:pPr>
    </w:p>
    <w:p w14:paraId="1EACA0C8" w14:textId="77777777" w:rsidR="0097509E" w:rsidRDefault="0097509E">
      <w:pPr>
        <w:pStyle w:val="BodyText"/>
        <w:ind w:left="0"/>
        <w:rPr>
          <w:b/>
        </w:rPr>
      </w:pPr>
    </w:p>
    <w:p w14:paraId="1EACA0C9" w14:textId="77777777" w:rsidR="0097509E" w:rsidRDefault="0097509E">
      <w:pPr>
        <w:pStyle w:val="BodyText"/>
        <w:ind w:left="0"/>
        <w:rPr>
          <w:b/>
        </w:rPr>
      </w:pPr>
    </w:p>
    <w:p w14:paraId="1EACA0CA" w14:textId="77777777" w:rsidR="0097509E" w:rsidRDefault="0097509E">
      <w:pPr>
        <w:pStyle w:val="BodyText"/>
        <w:ind w:left="0"/>
        <w:rPr>
          <w:b/>
        </w:rPr>
      </w:pPr>
    </w:p>
    <w:p w14:paraId="1EACA0CB" w14:textId="77777777" w:rsidR="0097509E" w:rsidRDefault="0097509E">
      <w:pPr>
        <w:pStyle w:val="BodyText"/>
        <w:ind w:left="0"/>
        <w:rPr>
          <w:b/>
        </w:rPr>
      </w:pPr>
    </w:p>
    <w:p w14:paraId="1EACA0CC" w14:textId="77777777" w:rsidR="0097509E" w:rsidRDefault="006E6FD3">
      <w:pPr>
        <w:spacing w:before="189"/>
        <w:ind w:left="100"/>
        <w:rPr>
          <w:b/>
          <w:sz w:val="24"/>
        </w:rPr>
      </w:pPr>
      <w:r>
        <w:rPr>
          <w:b/>
          <w:sz w:val="24"/>
          <w:u w:val="single"/>
        </w:rPr>
        <w:t>Report</w:t>
      </w:r>
    </w:p>
    <w:p w14:paraId="1EACA0CD" w14:textId="77777777" w:rsidR="0097509E" w:rsidRDefault="0097509E">
      <w:pPr>
        <w:rPr>
          <w:sz w:val="24"/>
        </w:rPr>
        <w:sectPr w:rsidR="0097509E">
          <w:type w:val="continuous"/>
          <w:pgSz w:w="11910" w:h="16840"/>
          <w:pgMar w:top="1380" w:right="1360" w:bottom="280" w:left="1340" w:header="720" w:footer="720" w:gutter="0"/>
          <w:cols w:num="2" w:space="720" w:equalWidth="0">
            <w:col w:w="2812" w:space="1362"/>
            <w:col w:w="5036"/>
          </w:cols>
        </w:sectPr>
      </w:pPr>
    </w:p>
    <w:p w14:paraId="1EACA0CE" w14:textId="77777777" w:rsidR="0097509E" w:rsidRDefault="0097509E">
      <w:pPr>
        <w:pStyle w:val="BodyText"/>
        <w:ind w:left="0"/>
        <w:rPr>
          <w:b/>
        </w:rPr>
      </w:pPr>
    </w:p>
    <w:p w14:paraId="1EACA0CF" w14:textId="77777777" w:rsidR="0097509E" w:rsidRDefault="0097509E">
      <w:pPr>
        <w:pStyle w:val="BodyText"/>
        <w:spacing w:before="10"/>
        <w:ind w:left="0"/>
        <w:rPr>
          <w:b/>
          <w:sz w:val="29"/>
        </w:rPr>
      </w:pPr>
    </w:p>
    <w:p w14:paraId="1EACA0D0" w14:textId="77777777" w:rsidR="0097509E" w:rsidRDefault="006E6FD3">
      <w:pPr>
        <w:ind w:left="100"/>
        <w:rPr>
          <w:b/>
          <w:sz w:val="24"/>
        </w:rPr>
      </w:pPr>
      <w:r>
        <w:rPr>
          <w:b/>
          <w:spacing w:val="-1"/>
          <w:sz w:val="24"/>
        </w:rPr>
        <w:t>Introduction:</w:t>
      </w:r>
    </w:p>
    <w:p w14:paraId="1EACA0D1" w14:textId="29E744C4" w:rsidR="0097509E" w:rsidRDefault="006E6FD3">
      <w:pPr>
        <w:spacing w:before="182"/>
        <w:ind w:left="-22"/>
        <w:rPr>
          <w:b/>
          <w:sz w:val="24"/>
        </w:rPr>
      </w:pPr>
      <w:r>
        <w:br w:type="column"/>
      </w:r>
      <w:r>
        <w:rPr>
          <w:rFonts w:ascii="Times New Roman"/>
          <w:spacing w:val="-5"/>
          <w:sz w:val="24"/>
          <w:u w:val="single"/>
        </w:rPr>
        <w:t xml:space="preserve"> </w:t>
      </w:r>
      <w:r>
        <w:rPr>
          <w:b/>
          <w:sz w:val="24"/>
          <w:u w:val="single"/>
        </w:rPr>
        <w:t>Analytical</w:t>
      </w:r>
      <w:r>
        <w:rPr>
          <w:b/>
          <w:spacing w:val="-7"/>
          <w:sz w:val="24"/>
          <w:u w:val="single"/>
        </w:rPr>
        <w:t xml:space="preserve"> </w:t>
      </w:r>
      <w:r>
        <w:rPr>
          <w:b/>
          <w:sz w:val="24"/>
          <w:u w:val="single"/>
        </w:rPr>
        <w:t>Dashboard</w:t>
      </w:r>
      <w:r>
        <w:rPr>
          <w:b/>
          <w:spacing w:val="-6"/>
          <w:sz w:val="24"/>
          <w:u w:val="single"/>
        </w:rPr>
        <w:t xml:space="preserve"> </w:t>
      </w:r>
      <w:r>
        <w:rPr>
          <w:b/>
          <w:sz w:val="24"/>
          <w:u w:val="single"/>
        </w:rPr>
        <w:t>on</w:t>
      </w:r>
      <w:r w:rsidR="00782ACC">
        <w:rPr>
          <w:b/>
          <w:sz w:val="24"/>
          <w:u w:val="single"/>
        </w:rPr>
        <w:t xml:space="preserve"> </w:t>
      </w:r>
      <w:r w:rsidR="00782ACC" w:rsidRPr="00782ACC">
        <w:rPr>
          <w:b/>
          <w:sz w:val="24"/>
          <w:u w:val="single"/>
        </w:rPr>
        <w:t>Month-wise Export Data</w:t>
      </w:r>
      <w:r w:rsidR="00782ACC">
        <w:rPr>
          <w:b/>
          <w:sz w:val="24"/>
          <w:u w:val="single"/>
        </w:rPr>
        <w:t xml:space="preserve"> of Commodities</w:t>
      </w:r>
    </w:p>
    <w:p w14:paraId="1EACA0D2" w14:textId="77777777" w:rsidR="0097509E" w:rsidRDefault="0097509E">
      <w:pPr>
        <w:rPr>
          <w:sz w:val="24"/>
        </w:rPr>
        <w:sectPr w:rsidR="0097509E">
          <w:type w:val="continuous"/>
          <w:pgSz w:w="11910" w:h="16840"/>
          <w:pgMar w:top="1380" w:right="1360" w:bottom="280" w:left="1340" w:header="720" w:footer="720" w:gutter="0"/>
          <w:cols w:num="2" w:space="720" w:equalWidth="0">
            <w:col w:w="1410" w:space="40"/>
            <w:col w:w="7760"/>
          </w:cols>
        </w:sectPr>
      </w:pPr>
    </w:p>
    <w:p w14:paraId="1EACA0D3" w14:textId="77777777" w:rsidR="0097509E" w:rsidRDefault="0097509E">
      <w:pPr>
        <w:pStyle w:val="BodyText"/>
        <w:spacing w:before="11"/>
        <w:ind w:left="0"/>
        <w:rPr>
          <w:b/>
          <w:sz w:val="10"/>
        </w:rPr>
      </w:pPr>
    </w:p>
    <w:p w14:paraId="25A66996" w14:textId="77777777" w:rsidR="0020633E" w:rsidRDefault="0020633E" w:rsidP="0020633E">
      <w:pPr>
        <w:spacing w:before="158"/>
        <w:ind w:left="100"/>
        <w:rPr>
          <w:b/>
          <w:sz w:val="24"/>
          <w:szCs w:val="24"/>
        </w:rPr>
      </w:pPr>
      <w:r w:rsidRPr="0020633E">
        <w:rPr>
          <w:sz w:val="24"/>
          <w:szCs w:val="24"/>
        </w:rPr>
        <w:t>Month-wise export data for principal commodities provides crucial insights into the dynamics of international trade. This data, which encompasses metrics such as volume, value, and destination markets, enables stakeholders to monitor economic trends, identify emerging opportunities, and formulate informed strategies. By analyzing export data on a month-to-month basis, policymakers, economists, businesses, and investors can adapt to changing market conditions, mitigate risks, and capitalize on growth prospects. Understanding the factors driving fluctuations in export performance enhances transparency, fosters market intelligence, and supports effective decision-making in an interconnected global economy.</w:t>
      </w:r>
      <w:r w:rsidRPr="0020633E">
        <w:rPr>
          <w:b/>
          <w:sz w:val="24"/>
          <w:szCs w:val="24"/>
        </w:rPr>
        <w:t xml:space="preserve"> </w:t>
      </w:r>
    </w:p>
    <w:p w14:paraId="1EACA0D6" w14:textId="56DADEE9" w:rsidR="0097509E" w:rsidRDefault="006E6FD3" w:rsidP="0020633E">
      <w:pPr>
        <w:spacing w:before="158"/>
        <w:ind w:left="100"/>
        <w:rPr>
          <w:sz w:val="24"/>
        </w:rPr>
      </w:pPr>
      <w:r>
        <w:rPr>
          <w:b/>
          <w:sz w:val="24"/>
        </w:rPr>
        <w:t>Summary</w:t>
      </w:r>
      <w:r>
        <w:rPr>
          <w:b/>
          <w:spacing w:val="-7"/>
          <w:sz w:val="24"/>
        </w:rPr>
        <w:t xml:space="preserve"> </w:t>
      </w:r>
      <w:r>
        <w:rPr>
          <w:b/>
          <w:sz w:val="24"/>
        </w:rPr>
        <w:t>of</w:t>
      </w:r>
      <w:r>
        <w:rPr>
          <w:b/>
          <w:spacing w:val="-4"/>
          <w:sz w:val="24"/>
        </w:rPr>
        <w:t xml:space="preserve"> </w:t>
      </w:r>
      <w:r>
        <w:rPr>
          <w:b/>
          <w:sz w:val="24"/>
        </w:rPr>
        <w:t>Dashboard:</w:t>
      </w:r>
      <w:r>
        <w:rPr>
          <w:b/>
          <w:spacing w:val="-5"/>
          <w:sz w:val="24"/>
        </w:rPr>
        <w:t xml:space="preserve"> </w:t>
      </w:r>
      <w:r>
        <w:rPr>
          <w:sz w:val="24"/>
        </w:rPr>
        <w:t>First</w:t>
      </w:r>
      <w:r>
        <w:rPr>
          <w:spacing w:val="-6"/>
          <w:sz w:val="24"/>
        </w:rPr>
        <w:t xml:space="preserve"> </w:t>
      </w:r>
      <w:r>
        <w:rPr>
          <w:sz w:val="24"/>
        </w:rPr>
        <w:t>tab</w:t>
      </w:r>
      <w:r>
        <w:rPr>
          <w:spacing w:val="-5"/>
          <w:sz w:val="24"/>
        </w:rPr>
        <w:t xml:space="preserve"> </w:t>
      </w:r>
      <w:r>
        <w:rPr>
          <w:sz w:val="24"/>
        </w:rPr>
        <w:t>i.e.</w:t>
      </w:r>
      <w:r>
        <w:rPr>
          <w:spacing w:val="-8"/>
          <w:sz w:val="24"/>
        </w:rPr>
        <w:t xml:space="preserve"> </w:t>
      </w:r>
      <w:r>
        <w:rPr>
          <w:sz w:val="24"/>
        </w:rPr>
        <w:t>Data</w:t>
      </w:r>
      <w:r>
        <w:rPr>
          <w:spacing w:val="-5"/>
          <w:sz w:val="24"/>
        </w:rPr>
        <w:t xml:space="preserve"> </w:t>
      </w:r>
      <w:r>
        <w:rPr>
          <w:sz w:val="24"/>
        </w:rPr>
        <w:t>tab</w:t>
      </w:r>
      <w:r>
        <w:rPr>
          <w:spacing w:val="-5"/>
          <w:sz w:val="24"/>
        </w:rPr>
        <w:t xml:space="preserve"> </w:t>
      </w:r>
      <w:r>
        <w:rPr>
          <w:sz w:val="24"/>
        </w:rPr>
        <w:t>covers</w:t>
      </w:r>
      <w:r>
        <w:rPr>
          <w:spacing w:val="-6"/>
          <w:sz w:val="24"/>
        </w:rPr>
        <w:t xml:space="preserve"> </w:t>
      </w:r>
      <w:r>
        <w:rPr>
          <w:sz w:val="24"/>
        </w:rPr>
        <w:t>summary</w:t>
      </w:r>
      <w:r>
        <w:rPr>
          <w:spacing w:val="-5"/>
          <w:sz w:val="24"/>
        </w:rPr>
        <w:t xml:space="preserve"> </w:t>
      </w:r>
      <w:r>
        <w:rPr>
          <w:sz w:val="24"/>
        </w:rPr>
        <w:t>of</w:t>
      </w:r>
      <w:r>
        <w:rPr>
          <w:spacing w:val="-7"/>
          <w:sz w:val="24"/>
        </w:rPr>
        <w:t xml:space="preserve"> </w:t>
      </w:r>
      <w:r>
        <w:rPr>
          <w:sz w:val="24"/>
        </w:rPr>
        <w:t>data.</w:t>
      </w:r>
      <w:r>
        <w:rPr>
          <w:spacing w:val="-6"/>
          <w:sz w:val="24"/>
        </w:rPr>
        <w:t xml:space="preserve"> </w:t>
      </w:r>
      <w:r>
        <w:rPr>
          <w:sz w:val="24"/>
        </w:rPr>
        <w:t>Second</w:t>
      </w:r>
      <w:r>
        <w:rPr>
          <w:spacing w:val="-4"/>
          <w:sz w:val="24"/>
        </w:rPr>
        <w:t xml:space="preserve"> </w:t>
      </w:r>
      <w:r>
        <w:rPr>
          <w:sz w:val="24"/>
        </w:rPr>
        <w:t>Tab</w:t>
      </w:r>
      <w:r>
        <w:rPr>
          <w:spacing w:val="-5"/>
          <w:sz w:val="24"/>
        </w:rPr>
        <w:t xml:space="preserve"> </w:t>
      </w:r>
      <w:r>
        <w:rPr>
          <w:sz w:val="24"/>
        </w:rPr>
        <w:t>i.e.</w:t>
      </w:r>
    </w:p>
    <w:p w14:paraId="1EACA0D7" w14:textId="77777777" w:rsidR="0097509E" w:rsidRDefault="006E6FD3">
      <w:pPr>
        <w:pStyle w:val="BodyText"/>
        <w:spacing w:before="24" w:line="259" w:lineRule="auto"/>
        <w:ind w:left="100" w:right="46"/>
      </w:pPr>
      <w:r>
        <w:t>Visualization</w:t>
      </w:r>
      <w:r>
        <w:rPr>
          <w:spacing w:val="-8"/>
        </w:rPr>
        <w:t xml:space="preserve"> </w:t>
      </w:r>
      <w:r>
        <w:t>tab</w:t>
      </w:r>
      <w:r>
        <w:rPr>
          <w:spacing w:val="-8"/>
        </w:rPr>
        <w:t xml:space="preserve"> </w:t>
      </w:r>
      <w:r>
        <w:t>covers</w:t>
      </w:r>
      <w:r>
        <w:rPr>
          <w:spacing w:val="-9"/>
        </w:rPr>
        <w:t xml:space="preserve"> </w:t>
      </w:r>
      <w:r>
        <w:t>interactive</w:t>
      </w:r>
      <w:r>
        <w:rPr>
          <w:spacing w:val="-8"/>
        </w:rPr>
        <w:t xml:space="preserve"> </w:t>
      </w:r>
      <w:r>
        <w:t>graphs</w:t>
      </w:r>
      <w:r>
        <w:rPr>
          <w:spacing w:val="-9"/>
        </w:rPr>
        <w:t xml:space="preserve"> </w:t>
      </w:r>
      <w:r>
        <w:t>and</w:t>
      </w:r>
      <w:r>
        <w:rPr>
          <w:spacing w:val="-10"/>
        </w:rPr>
        <w:t xml:space="preserve"> </w:t>
      </w:r>
      <w:r>
        <w:t>third</w:t>
      </w:r>
      <w:r>
        <w:rPr>
          <w:spacing w:val="-8"/>
        </w:rPr>
        <w:t xml:space="preserve"> </w:t>
      </w:r>
      <w:r>
        <w:t>tab</w:t>
      </w:r>
      <w:r>
        <w:rPr>
          <w:spacing w:val="-8"/>
        </w:rPr>
        <w:t xml:space="preserve"> </w:t>
      </w:r>
      <w:r>
        <w:t>i.e.</w:t>
      </w:r>
      <w:r>
        <w:rPr>
          <w:spacing w:val="-9"/>
        </w:rPr>
        <w:t xml:space="preserve"> </w:t>
      </w:r>
      <w:r>
        <w:t>Analysis</w:t>
      </w:r>
      <w:r>
        <w:rPr>
          <w:spacing w:val="-10"/>
        </w:rPr>
        <w:t xml:space="preserve"> </w:t>
      </w:r>
      <w:r>
        <w:t>tab</w:t>
      </w:r>
      <w:r>
        <w:rPr>
          <w:spacing w:val="-8"/>
        </w:rPr>
        <w:t xml:space="preserve"> </w:t>
      </w:r>
      <w:r>
        <w:t>covers</w:t>
      </w:r>
      <w:r>
        <w:rPr>
          <w:spacing w:val="-9"/>
        </w:rPr>
        <w:t xml:space="preserve"> </w:t>
      </w:r>
      <w:r>
        <w:t>ANOVA</w:t>
      </w:r>
      <w:r>
        <w:rPr>
          <w:spacing w:val="-8"/>
        </w:rPr>
        <w:t xml:space="preserve"> </w:t>
      </w:r>
      <w:r>
        <w:t>tests</w:t>
      </w:r>
      <w:r>
        <w:rPr>
          <w:spacing w:val="-52"/>
        </w:rPr>
        <w:t xml:space="preserve"> </w:t>
      </w:r>
      <w:r>
        <w:t>to check</w:t>
      </w:r>
      <w:r>
        <w:rPr>
          <w:spacing w:val="-1"/>
        </w:rPr>
        <w:t xml:space="preserve"> </w:t>
      </w:r>
      <w:r>
        <w:t>if cases</w:t>
      </w:r>
      <w:r>
        <w:rPr>
          <w:spacing w:val="-2"/>
        </w:rPr>
        <w:t xml:space="preserve"> </w:t>
      </w:r>
      <w:r>
        <w:t>have risen</w:t>
      </w:r>
      <w:r>
        <w:rPr>
          <w:spacing w:val="2"/>
        </w:rPr>
        <w:t xml:space="preserve"> </w:t>
      </w:r>
      <w:r>
        <w:t>over</w:t>
      </w:r>
      <w:r>
        <w:rPr>
          <w:spacing w:val="1"/>
        </w:rPr>
        <w:t xml:space="preserve"> </w:t>
      </w:r>
      <w:r>
        <w:t>the years.</w:t>
      </w:r>
    </w:p>
    <w:p w14:paraId="1EACA0D8" w14:textId="77777777" w:rsidR="0097509E" w:rsidRDefault="006E6FD3">
      <w:pPr>
        <w:pStyle w:val="Heading1"/>
        <w:ind w:left="3743" w:right="3720"/>
        <w:jc w:val="center"/>
        <w:rPr>
          <w:u w:val="none"/>
        </w:rPr>
      </w:pPr>
      <w:r>
        <w:t>Detailed</w:t>
      </w:r>
      <w:r>
        <w:rPr>
          <w:spacing w:val="-5"/>
        </w:rPr>
        <w:t xml:space="preserve"> </w:t>
      </w:r>
      <w:r>
        <w:t>Analysis</w:t>
      </w:r>
    </w:p>
    <w:p w14:paraId="1EACA0D9" w14:textId="77777777" w:rsidR="0097509E" w:rsidRDefault="0097509E">
      <w:pPr>
        <w:pStyle w:val="BodyText"/>
        <w:spacing w:before="9"/>
        <w:ind w:left="0"/>
        <w:rPr>
          <w:b/>
          <w:sz w:val="10"/>
        </w:rPr>
      </w:pPr>
    </w:p>
    <w:p w14:paraId="1EACA0DA" w14:textId="77777777" w:rsidR="0097509E" w:rsidRDefault="006E6FD3">
      <w:pPr>
        <w:spacing w:before="51"/>
        <w:ind w:left="100"/>
        <w:rPr>
          <w:b/>
          <w:sz w:val="24"/>
        </w:rPr>
      </w:pPr>
      <w:r>
        <w:rPr>
          <w:b/>
          <w:sz w:val="24"/>
          <w:u w:val="single"/>
        </w:rPr>
        <w:t>Tab</w:t>
      </w:r>
      <w:r>
        <w:rPr>
          <w:b/>
          <w:spacing w:val="-7"/>
          <w:sz w:val="24"/>
          <w:u w:val="single"/>
        </w:rPr>
        <w:t xml:space="preserve"> </w:t>
      </w:r>
      <w:r>
        <w:rPr>
          <w:b/>
          <w:sz w:val="24"/>
          <w:u w:val="single"/>
        </w:rPr>
        <w:t>1:</w:t>
      </w:r>
      <w:r>
        <w:rPr>
          <w:b/>
          <w:spacing w:val="-8"/>
          <w:sz w:val="24"/>
          <w:u w:val="single"/>
        </w:rPr>
        <w:t xml:space="preserve"> </w:t>
      </w:r>
      <w:r>
        <w:rPr>
          <w:b/>
          <w:sz w:val="24"/>
          <w:u w:val="single"/>
        </w:rPr>
        <w:t>Data</w:t>
      </w:r>
    </w:p>
    <w:p w14:paraId="1EACA0DB" w14:textId="77777777" w:rsidR="0097509E" w:rsidRDefault="006E6FD3">
      <w:pPr>
        <w:pStyle w:val="Heading1"/>
        <w:spacing w:before="185"/>
        <w:rPr>
          <w:u w:val="none"/>
        </w:rPr>
      </w:pPr>
      <w:r>
        <w:t>Part</w:t>
      </w:r>
      <w:r>
        <w:rPr>
          <w:spacing w:val="-5"/>
        </w:rPr>
        <w:t xml:space="preserve"> </w:t>
      </w:r>
      <w:r>
        <w:t>1:</w:t>
      </w:r>
      <w:r>
        <w:rPr>
          <w:spacing w:val="-5"/>
        </w:rPr>
        <w:t xml:space="preserve"> </w:t>
      </w:r>
      <w:r>
        <w:t>Introduction</w:t>
      </w:r>
    </w:p>
    <w:p w14:paraId="1EACA0DC" w14:textId="77777777" w:rsidR="0097509E" w:rsidRDefault="006E6FD3">
      <w:pPr>
        <w:pStyle w:val="BodyText"/>
        <w:spacing w:before="182" w:line="259" w:lineRule="auto"/>
        <w:ind w:left="100"/>
      </w:pPr>
      <w:r>
        <w:t>This</w:t>
      </w:r>
      <w:r>
        <w:rPr>
          <w:spacing w:val="-7"/>
        </w:rPr>
        <w:t xml:space="preserve"> </w:t>
      </w:r>
      <w:r>
        <w:t>part</w:t>
      </w:r>
      <w:r>
        <w:rPr>
          <w:spacing w:val="-6"/>
        </w:rPr>
        <w:t xml:space="preserve"> </w:t>
      </w:r>
      <w:r>
        <w:t>provides</w:t>
      </w:r>
      <w:r>
        <w:rPr>
          <w:spacing w:val="-4"/>
        </w:rPr>
        <w:t xml:space="preserve"> </w:t>
      </w:r>
      <w:r>
        <w:t>a</w:t>
      </w:r>
      <w:r>
        <w:rPr>
          <w:spacing w:val="-6"/>
        </w:rPr>
        <w:t xml:space="preserve"> </w:t>
      </w:r>
      <w:r>
        <w:t>brief</w:t>
      </w:r>
      <w:r>
        <w:rPr>
          <w:spacing w:val="-6"/>
        </w:rPr>
        <w:t xml:space="preserve"> </w:t>
      </w:r>
      <w:r>
        <w:t>introduction</w:t>
      </w:r>
      <w:r>
        <w:rPr>
          <w:spacing w:val="-5"/>
        </w:rPr>
        <w:t xml:space="preserve"> </w:t>
      </w:r>
      <w:r>
        <w:t>of</w:t>
      </w:r>
      <w:r>
        <w:rPr>
          <w:spacing w:val="-5"/>
        </w:rPr>
        <w:t xml:space="preserve"> </w:t>
      </w:r>
      <w:r>
        <w:t>dashboard</w:t>
      </w:r>
      <w:r>
        <w:rPr>
          <w:spacing w:val="-4"/>
        </w:rPr>
        <w:t xml:space="preserve"> </w:t>
      </w:r>
      <w:r>
        <w:t>and</w:t>
      </w:r>
      <w:r>
        <w:rPr>
          <w:spacing w:val="-5"/>
        </w:rPr>
        <w:t xml:space="preserve"> </w:t>
      </w:r>
      <w:r>
        <w:t>abbreviations</w:t>
      </w:r>
      <w:r>
        <w:rPr>
          <w:spacing w:val="-7"/>
        </w:rPr>
        <w:t xml:space="preserve"> </w:t>
      </w:r>
      <w:r>
        <w:t>used</w:t>
      </w:r>
      <w:r>
        <w:rPr>
          <w:spacing w:val="-4"/>
        </w:rPr>
        <w:t xml:space="preserve"> </w:t>
      </w:r>
      <w:r>
        <w:t>as</w:t>
      </w:r>
      <w:r>
        <w:rPr>
          <w:spacing w:val="-6"/>
        </w:rPr>
        <w:t xml:space="preserve"> </w:t>
      </w:r>
      <w:r>
        <w:t>provided</w:t>
      </w:r>
      <w:r>
        <w:rPr>
          <w:spacing w:val="-52"/>
        </w:rPr>
        <w:t xml:space="preserve"> </w:t>
      </w:r>
      <w:r>
        <w:t>earlier.</w:t>
      </w:r>
    </w:p>
    <w:p w14:paraId="1EACA0DD" w14:textId="77777777" w:rsidR="0097509E" w:rsidRDefault="006E6FD3">
      <w:pPr>
        <w:pStyle w:val="Heading1"/>
        <w:rPr>
          <w:u w:val="none"/>
        </w:rPr>
      </w:pPr>
      <w:r>
        <w:t>Part</w:t>
      </w:r>
      <w:r>
        <w:rPr>
          <w:spacing w:val="-7"/>
        </w:rPr>
        <w:t xml:space="preserve"> </w:t>
      </w:r>
      <w:r>
        <w:t>2:</w:t>
      </w:r>
      <w:r>
        <w:rPr>
          <w:spacing w:val="-8"/>
        </w:rPr>
        <w:t xml:space="preserve"> </w:t>
      </w:r>
      <w:r>
        <w:t>Table</w:t>
      </w:r>
    </w:p>
    <w:p w14:paraId="1EACA0DE" w14:textId="77777777" w:rsidR="0097509E" w:rsidRDefault="006E6FD3">
      <w:pPr>
        <w:pStyle w:val="BodyText"/>
        <w:spacing w:before="185" w:line="256" w:lineRule="auto"/>
        <w:ind w:left="100"/>
      </w:pPr>
      <w:r>
        <w:t>This</w:t>
      </w:r>
      <w:r>
        <w:rPr>
          <w:spacing w:val="-6"/>
        </w:rPr>
        <w:t xml:space="preserve"> </w:t>
      </w:r>
      <w:r>
        <w:t>part</w:t>
      </w:r>
      <w:r>
        <w:rPr>
          <w:spacing w:val="-4"/>
        </w:rPr>
        <w:t xml:space="preserve"> </w:t>
      </w:r>
      <w:r>
        <w:t>provides</w:t>
      </w:r>
      <w:r>
        <w:rPr>
          <w:spacing w:val="-3"/>
        </w:rPr>
        <w:t xml:space="preserve"> </w:t>
      </w:r>
      <w:r>
        <w:t>the</w:t>
      </w:r>
      <w:r>
        <w:rPr>
          <w:spacing w:val="-2"/>
        </w:rPr>
        <w:t xml:space="preserve"> </w:t>
      </w:r>
      <w:r>
        <w:t>data</w:t>
      </w:r>
      <w:r>
        <w:rPr>
          <w:spacing w:val="-4"/>
        </w:rPr>
        <w:t xml:space="preserve"> </w:t>
      </w:r>
      <w:r>
        <w:t>that</w:t>
      </w:r>
      <w:r>
        <w:rPr>
          <w:spacing w:val="-4"/>
        </w:rPr>
        <w:t xml:space="preserve"> </w:t>
      </w:r>
      <w:r>
        <w:t>is</w:t>
      </w:r>
      <w:r>
        <w:rPr>
          <w:spacing w:val="-4"/>
        </w:rPr>
        <w:t xml:space="preserve"> </w:t>
      </w:r>
      <w:r>
        <w:t>used</w:t>
      </w:r>
      <w:r>
        <w:rPr>
          <w:spacing w:val="-4"/>
        </w:rPr>
        <w:t xml:space="preserve"> </w:t>
      </w:r>
      <w:r>
        <w:t>in</w:t>
      </w:r>
      <w:r>
        <w:rPr>
          <w:spacing w:val="-4"/>
        </w:rPr>
        <w:t xml:space="preserve"> </w:t>
      </w:r>
      <w:r>
        <w:t>this</w:t>
      </w:r>
      <w:r>
        <w:rPr>
          <w:spacing w:val="-4"/>
        </w:rPr>
        <w:t xml:space="preserve"> </w:t>
      </w:r>
      <w:r>
        <w:t>in</w:t>
      </w:r>
      <w:r>
        <w:rPr>
          <w:spacing w:val="-2"/>
        </w:rPr>
        <w:t xml:space="preserve"> </w:t>
      </w:r>
      <w:r>
        <w:t>this</w:t>
      </w:r>
      <w:r>
        <w:rPr>
          <w:spacing w:val="-4"/>
        </w:rPr>
        <w:t xml:space="preserve"> </w:t>
      </w:r>
      <w:r>
        <w:t>dashboard.</w:t>
      </w:r>
      <w:r>
        <w:rPr>
          <w:spacing w:val="-6"/>
        </w:rPr>
        <w:t xml:space="preserve"> </w:t>
      </w:r>
      <w:r>
        <w:t>It</w:t>
      </w:r>
      <w:r>
        <w:rPr>
          <w:spacing w:val="-4"/>
        </w:rPr>
        <w:t xml:space="preserve"> </w:t>
      </w:r>
      <w:r>
        <w:t>is</w:t>
      </w:r>
      <w:r>
        <w:rPr>
          <w:spacing w:val="-4"/>
        </w:rPr>
        <w:t xml:space="preserve"> </w:t>
      </w:r>
      <w:r>
        <w:t>downloaded</w:t>
      </w:r>
      <w:r>
        <w:rPr>
          <w:spacing w:val="-2"/>
        </w:rPr>
        <w:t xml:space="preserve"> </w:t>
      </w:r>
      <w:r>
        <w:t>from</w:t>
      </w:r>
      <w:r>
        <w:rPr>
          <w:spacing w:val="-52"/>
        </w:rPr>
        <w:t xml:space="preserve"> </w:t>
      </w:r>
      <w:r>
        <w:t>data.gov.in,</w:t>
      </w:r>
      <w:r>
        <w:rPr>
          <w:spacing w:val="-2"/>
        </w:rPr>
        <w:t xml:space="preserve"> </w:t>
      </w:r>
      <w:r>
        <w:t>which is</w:t>
      </w:r>
      <w:r>
        <w:rPr>
          <w:spacing w:val="-2"/>
        </w:rPr>
        <w:t xml:space="preserve"> </w:t>
      </w:r>
      <w:r>
        <w:t>open-source</w:t>
      </w:r>
      <w:r>
        <w:rPr>
          <w:spacing w:val="-2"/>
        </w:rPr>
        <w:t xml:space="preserve"> </w:t>
      </w:r>
      <w:r>
        <w:t>website</w:t>
      </w:r>
      <w:r>
        <w:rPr>
          <w:spacing w:val="-1"/>
        </w:rPr>
        <w:t xml:space="preserve"> </w:t>
      </w:r>
      <w:r>
        <w:t>by</w:t>
      </w:r>
      <w:r>
        <w:rPr>
          <w:spacing w:val="-1"/>
        </w:rPr>
        <w:t xml:space="preserve"> </w:t>
      </w:r>
      <w:r>
        <w:t>government</w:t>
      </w:r>
      <w:r>
        <w:rPr>
          <w:spacing w:val="-3"/>
        </w:rPr>
        <w:t xml:space="preserve"> </w:t>
      </w:r>
      <w:r>
        <w:t>of</w:t>
      </w:r>
      <w:r>
        <w:rPr>
          <w:spacing w:val="-2"/>
        </w:rPr>
        <w:t xml:space="preserve"> </w:t>
      </w:r>
      <w:r>
        <w:t>India</w:t>
      </w:r>
    </w:p>
    <w:p w14:paraId="1EACA0DF" w14:textId="77777777" w:rsidR="0097509E" w:rsidRDefault="006E6FD3">
      <w:pPr>
        <w:pStyle w:val="Heading1"/>
        <w:spacing w:before="166"/>
        <w:rPr>
          <w:u w:val="none"/>
        </w:rPr>
      </w:pPr>
      <w:r>
        <w:t>Part</w:t>
      </w:r>
      <w:r>
        <w:rPr>
          <w:spacing w:val="-3"/>
        </w:rPr>
        <w:t xml:space="preserve"> </w:t>
      </w:r>
      <w:r>
        <w:t>3:</w:t>
      </w:r>
      <w:r>
        <w:rPr>
          <w:spacing w:val="-5"/>
        </w:rPr>
        <w:t xml:space="preserve"> </w:t>
      </w:r>
      <w:r>
        <w:t>Structure</w:t>
      </w:r>
    </w:p>
    <w:p w14:paraId="1EACA0E0" w14:textId="3F152E66" w:rsidR="0097509E" w:rsidRDefault="006E6FD3">
      <w:pPr>
        <w:pStyle w:val="BodyText"/>
        <w:spacing w:before="182" w:line="259" w:lineRule="auto"/>
        <w:ind w:left="100"/>
      </w:pPr>
      <w:r>
        <w:t>This part of the data provides detailed overview of different variables of the data. Variables</w:t>
      </w:r>
      <w:r>
        <w:rPr>
          <w:spacing w:val="1"/>
        </w:rPr>
        <w:t xml:space="preserve"> </w:t>
      </w:r>
      <w:r>
        <w:t>are</w:t>
      </w:r>
      <w:r w:rsidR="00C4759E">
        <w:t xml:space="preserve"> </w:t>
      </w:r>
      <w:r w:rsidR="0096359C">
        <w:t xml:space="preserve">months </w:t>
      </w:r>
      <w:r>
        <w:t>and</w:t>
      </w:r>
      <w:r>
        <w:rPr>
          <w:spacing w:val="-5"/>
        </w:rPr>
        <w:t xml:space="preserve"> </w:t>
      </w:r>
      <w:r w:rsidR="0096359C">
        <w:t xml:space="preserve">commodities exported </w:t>
      </w:r>
      <w:r>
        <w:t>under</w:t>
      </w:r>
      <w:r>
        <w:rPr>
          <w:spacing w:val="-7"/>
        </w:rPr>
        <w:t xml:space="preserve"> </w:t>
      </w:r>
      <w:r>
        <w:t>dif</w:t>
      </w:r>
      <w:r w:rsidR="0096359C">
        <w:t>ferent years.</w:t>
      </w:r>
    </w:p>
    <w:p w14:paraId="1EACA0E1" w14:textId="77777777" w:rsidR="0097509E" w:rsidRDefault="006E6FD3">
      <w:pPr>
        <w:pStyle w:val="Heading1"/>
      </w:pPr>
      <w:r>
        <w:t>Part</w:t>
      </w:r>
      <w:r>
        <w:rPr>
          <w:spacing w:val="-2"/>
        </w:rPr>
        <w:t xml:space="preserve"> </w:t>
      </w:r>
      <w:r>
        <w:t>4:</w:t>
      </w:r>
      <w:r>
        <w:rPr>
          <w:spacing w:val="-3"/>
        </w:rPr>
        <w:t xml:space="preserve"> </w:t>
      </w:r>
      <w:r>
        <w:t>Summary</w:t>
      </w:r>
    </w:p>
    <w:p w14:paraId="797239C9" w14:textId="6E642BB1" w:rsidR="001F1809" w:rsidRDefault="003457F1" w:rsidP="003457F1">
      <w:pPr>
        <w:pStyle w:val="BodyText"/>
        <w:spacing w:before="182" w:line="259" w:lineRule="auto"/>
        <w:ind w:left="142" w:hanging="142"/>
      </w:pPr>
      <w:r>
        <w:t xml:space="preserve">  </w:t>
      </w:r>
      <w:r w:rsidR="001F1809">
        <w:t>This report analyzes month-wise export data for principal commodities from April 2013 to December 2014. The data provides insights into the value of exports in crore rupees (Rs. Cr.) for each month and highlights trends and changes over time. Key metrics such as minimum, maximum, mean, and median values are examined, along with percent changes between April-December 2013 and April-December 2014. The analysis aims to identify patterns, fluctuations, and potential drivers affecting export performance during the specified period.</w:t>
      </w:r>
    </w:p>
    <w:p w14:paraId="4F7996D1" w14:textId="77777777" w:rsidR="00BD55EB" w:rsidRDefault="00BD55EB" w:rsidP="001F1809">
      <w:pPr>
        <w:ind w:left="142" w:hanging="142"/>
      </w:pPr>
    </w:p>
    <w:p w14:paraId="1EACA0EE" w14:textId="77777777" w:rsidR="0097509E" w:rsidRDefault="0097509E">
      <w:pPr>
        <w:pStyle w:val="BodyText"/>
        <w:ind w:left="0"/>
      </w:pPr>
    </w:p>
    <w:p w14:paraId="6808E5E9" w14:textId="4244D091" w:rsidR="009B016F" w:rsidRDefault="009B016F" w:rsidP="009B016F">
      <w:pPr>
        <w:pStyle w:val="Heading1"/>
      </w:pPr>
      <w:r>
        <w:lastRenderedPageBreak/>
        <w:t>Part</w:t>
      </w:r>
      <w:r>
        <w:rPr>
          <w:spacing w:val="-2"/>
        </w:rPr>
        <w:t xml:space="preserve"> </w:t>
      </w:r>
      <w:r>
        <w:rPr>
          <w:spacing w:val="-2"/>
        </w:rPr>
        <w:t>5</w:t>
      </w:r>
      <w:r>
        <w:t>:</w:t>
      </w:r>
      <w:r>
        <w:rPr>
          <w:spacing w:val="-3"/>
        </w:rPr>
        <w:t xml:space="preserve"> </w:t>
      </w:r>
      <w:r>
        <w:t>Analysis</w:t>
      </w:r>
    </w:p>
    <w:p w14:paraId="1EACA0EF" w14:textId="77777777" w:rsidR="0097509E" w:rsidRDefault="0097509E">
      <w:pPr>
        <w:pStyle w:val="BodyText"/>
        <w:spacing w:before="1"/>
        <w:ind w:left="0"/>
        <w:rPr>
          <w:sz w:val="28"/>
        </w:rPr>
      </w:pPr>
    </w:p>
    <w:p w14:paraId="24762013" w14:textId="77777777" w:rsidR="00973FFF" w:rsidRPr="003457F1" w:rsidRDefault="00973FFF" w:rsidP="003457F1">
      <w:pPr>
        <w:pStyle w:val="BodyText"/>
        <w:spacing w:before="182" w:line="259" w:lineRule="auto"/>
        <w:ind w:left="142"/>
        <w:rPr>
          <w:b/>
          <w:bCs/>
        </w:rPr>
      </w:pPr>
      <w:r w:rsidRPr="003457F1">
        <w:rPr>
          <w:b/>
          <w:bCs/>
        </w:rPr>
        <w:t>1. Overview of Export Trends:</w:t>
      </w:r>
    </w:p>
    <w:p w14:paraId="7966232D" w14:textId="54C83B5E" w:rsidR="00973FFF" w:rsidRDefault="003457F1" w:rsidP="003457F1">
      <w:pPr>
        <w:pStyle w:val="BodyText"/>
        <w:spacing w:before="182" w:line="259" w:lineRule="auto"/>
        <w:ind w:left="142" w:hanging="142"/>
      </w:pPr>
      <w:r>
        <w:t xml:space="preserve">   </w:t>
      </w:r>
      <w:r w:rsidR="00973FFF">
        <w:t>The data reveals significant variations in export values across different months and years, indicating fluctuations in demand, market conditions, and economic factors.</w:t>
      </w:r>
    </w:p>
    <w:p w14:paraId="5E60764C" w14:textId="133B8417" w:rsidR="00973FFF" w:rsidRDefault="003457F1" w:rsidP="003457F1">
      <w:pPr>
        <w:pStyle w:val="BodyText"/>
        <w:spacing w:before="182" w:line="259" w:lineRule="auto"/>
        <w:ind w:left="142" w:hanging="142"/>
      </w:pPr>
      <w:r>
        <w:t xml:space="preserve">   </w:t>
      </w:r>
      <w:r w:rsidR="00973FFF">
        <w:t>The mean export value shows an increasing trend from April 2013 to December 2014, suggesting overall growth in export activity during the period under review.</w:t>
      </w:r>
    </w:p>
    <w:p w14:paraId="35A732AD" w14:textId="1561A0AF" w:rsidR="00973FFF" w:rsidRPr="003457F1" w:rsidRDefault="00973FFF" w:rsidP="003457F1">
      <w:pPr>
        <w:pStyle w:val="BodyText"/>
        <w:spacing w:before="182" w:line="259" w:lineRule="auto"/>
        <w:ind w:left="142"/>
        <w:rPr>
          <w:b/>
          <w:bCs/>
        </w:rPr>
      </w:pPr>
      <w:r w:rsidRPr="003457F1">
        <w:rPr>
          <w:b/>
          <w:bCs/>
        </w:rPr>
        <w:t>2. Month-wise Analysis:</w:t>
      </w:r>
    </w:p>
    <w:p w14:paraId="185E3B46" w14:textId="6DE8D6CD" w:rsidR="00973FFF" w:rsidRDefault="003457F1" w:rsidP="003457F1">
      <w:pPr>
        <w:pStyle w:val="BodyText"/>
        <w:spacing w:before="182" w:line="259" w:lineRule="auto"/>
        <w:ind w:left="142" w:hanging="142"/>
      </w:pPr>
      <w:r>
        <w:t xml:space="preserve">   </w:t>
      </w:r>
      <w:r w:rsidR="00973FFF">
        <w:t xml:space="preserve">April 2013 recorded a minimum export value of Rs. 0.0 Cr. and a maximum value of Rs. </w:t>
      </w:r>
      <w:r>
        <w:t xml:space="preserve">    </w:t>
      </w:r>
      <w:r w:rsidR="00973FFF">
        <w:t>133353.9 Cr., reflecting a wide range of export activities.</w:t>
      </w:r>
    </w:p>
    <w:p w14:paraId="7214BBB3" w14:textId="2C5AEF2F" w:rsidR="00973FFF" w:rsidRDefault="003457F1" w:rsidP="003457F1">
      <w:pPr>
        <w:pStyle w:val="BodyText"/>
        <w:spacing w:before="182" w:line="259" w:lineRule="auto"/>
        <w:ind w:left="142" w:hanging="142"/>
      </w:pPr>
      <w:r>
        <w:t xml:space="preserve">   </w:t>
      </w:r>
      <w:r w:rsidR="00973FFF">
        <w:t xml:space="preserve">December 2014 exhibited similar variability, with a minimum export value of Rs. 0.0 Cr. and </w:t>
      </w:r>
      <w:r>
        <w:t xml:space="preserve"> </w:t>
      </w:r>
      <w:r w:rsidR="00973FFF">
        <w:t>a maximum value of Rs. 163276.31 Cr.</w:t>
      </w:r>
    </w:p>
    <w:p w14:paraId="2071C8FA" w14:textId="47EC99B8" w:rsidR="00973FFF" w:rsidRDefault="003457F1" w:rsidP="003457F1">
      <w:pPr>
        <w:pStyle w:val="BodyText"/>
        <w:spacing w:before="182" w:line="259" w:lineRule="auto"/>
        <w:ind w:left="142" w:hanging="142"/>
      </w:pPr>
      <w:r>
        <w:t xml:space="preserve">   </w:t>
      </w:r>
      <w:r w:rsidR="00973FFF">
        <w:t>Median export values remained relatively stable across most months, indicating consistent performance within the middle range of the distribution.</w:t>
      </w:r>
    </w:p>
    <w:p w14:paraId="3F96CE81" w14:textId="3854FF56" w:rsidR="003457F1" w:rsidRPr="006E6FD3" w:rsidRDefault="00973FFF" w:rsidP="006E6FD3">
      <w:pPr>
        <w:pStyle w:val="BodyText"/>
        <w:spacing w:before="182" w:line="259" w:lineRule="auto"/>
        <w:ind w:left="142"/>
        <w:rPr>
          <w:b/>
          <w:bCs/>
        </w:rPr>
      </w:pPr>
      <w:r w:rsidRPr="006E6FD3">
        <w:rPr>
          <w:b/>
          <w:bCs/>
        </w:rPr>
        <w:t>3. Year-on-Year Comparison:</w:t>
      </w:r>
    </w:p>
    <w:p w14:paraId="49DFBAE4" w14:textId="0ECBE82D" w:rsidR="00973FFF" w:rsidRDefault="00973FFF" w:rsidP="003457F1">
      <w:pPr>
        <w:pStyle w:val="BodyText"/>
        <w:spacing w:before="182" w:line="259" w:lineRule="auto"/>
        <w:ind w:left="142"/>
      </w:pPr>
      <w:r>
        <w:t>The analysis of year-on-year changes reveals fluctuations in export performance, with some months showing significant growth while others experienced declines.</w:t>
      </w:r>
    </w:p>
    <w:p w14:paraId="2711A548" w14:textId="50A3AA35" w:rsidR="00973FFF" w:rsidRDefault="003457F1" w:rsidP="003457F1">
      <w:pPr>
        <w:pStyle w:val="BodyText"/>
        <w:spacing w:before="182" w:line="259" w:lineRule="auto"/>
        <w:ind w:left="142" w:hanging="142"/>
      </w:pPr>
      <w:r>
        <w:t xml:space="preserve">   </w:t>
      </w:r>
      <w:r w:rsidR="00973FFF">
        <w:t>Percent change calculations between April-December 2013 and April-December 2014 highlight the overall growth or contraction in export values during the respective periods.</w:t>
      </w:r>
    </w:p>
    <w:p w14:paraId="7DC9F860" w14:textId="3B6747DA" w:rsidR="003457F1" w:rsidRDefault="00973FFF" w:rsidP="006E6FD3">
      <w:pPr>
        <w:pStyle w:val="BodyText"/>
        <w:spacing w:before="182" w:line="259" w:lineRule="auto"/>
        <w:ind w:left="142"/>
      </w:pPr>
      <w:r w:rsidRPr="006E6FD3">
        <w:rPr>
          <w:b/>
          <w:bCs/>
        </w:rPr>
        <w:t>4. Insights and Implications:</w:t>
      </w:r>
    </w:p>
    <w:p w14:paraId="0D4CDC7C" w14:textId="2D6E5BF1" w:rsidR="00973FFF" w:rsidRDefault="00973FFF" w:rsidP="003457F1">
      <w:pPr>
        <w:pStyle w:val="BodyText"/>
        <w:spacing w:before="182" w:line="259" w:lineRule="auto"/>
        <w:ind w:left="142"/>
      </w:pPr>
      <w:r>
        <w:t>Understanding the factors contributing to fluctuations in export values is essential for businesses, policymakers, and investors to make informed decisions and strategies.</w:t>
      </w:r>
    </w:p>
    <w:p w14:paraId="58B32A42" w14:textId="10BBBC04" w:rsidR="00973FFF" w:rsidRDefault="003457F1" w:rsidP="003457F1">
      <w:pPr>
        <w:pStyle w:val="BodyText"/>
        <w:spacing w:before="182" w:line="259" w:lineRule="auto"/>
        <w:ind w:left="142" w:hanging="142"/>
      </w:pPr>
      <w:r>
        <w:t xml:space="preserve">   </w:t>
      </w:r>
      <w:r w:rsidR="00973FFF">
        <w:t>External factors such as changes in global demand, economic conditions, currency fluctuations, and trade policies may have influenced export performance during the period under review.</w:t>
      </w:r>
    </w:p>
    <w:p w14:paraId="6C68FC11" w14:textId="51BB2955" w:rsidR="00973FFF" w:rsidRDefault="003457F1" w:rsidP="006E6FD3">
      <w:pPr>
        <w:pStyle w:val="BodyText"/>
        <w:spacing w:before="182" w:line="259" w:lineRule="auto"/>
        <w:ind w:left="142"/>
      </w:pPr>
      <w:r>
        <w:t xml:space="preserve"> </w:t>
      </w:r>
      <w:r w:rsidR="00973FFF" w:rsidRPr="006E6FD3">
        <w:rPr>
          <w:b/>
          <w:bCs/>
        </w:rPr>
        <w:t>5. Conclusion:</w:t>
      </w:r>
    </w:p>
    <w:p w14:paraId="61510670" w14:textId="4834DD75" w:rsidR="00973FFF" w:rsidRDefault="003457F1" w:rsidP="003457F1">
      <w:pPr>
        <w:pStyle w:val="BodyText"/>
        <w:spacing w:before="182" w:line="259" w:lineRule="auto"/>
        <w:ind w:left="142" w:hanging="142"/>
      </w:pPr>
      <w:r>
        <w:t xml:space="preserve">   </w:t>
      </w:r>
      <w:r w:rsidR="00973FFF">
        <w:t>The month-wise export data analysis provides valuable insights into the dynamics of international trade and export performance for principal commodities. While the data exhibits variability and fluctuations, the overall trend indicates growth in export activity over the specified period. Further analysis and monitoring of key factors driving export performance are recommended to support informed decision-making and strategy development.</w:t>
      </w:r>
    </w:p>
    <w:p w14:paraId="1EACA0F8" w14:textId="77777777" w:rsidR="0097509E" w:rsidRDefault="0097509E">
      <w:pPr>
        <w:spacing w:line="256" w:lineRule="auto"/>
        <w:rPr>
          <w:sz w:val="24"/>
        </w:rPr>
        <w:sectPr w:rsidR="0097509E" w:rsidSect="003457F1">
          <w:type w:val="continuous"/>
          <w:pgSz w:w="11910" w:h="16840"/>
          <w:pgMar w:top="1380" w:right="1360" w:bottom="280" w:left="1276" w:header="720" w:footer="720" w:gutter="0"/>
          <w:cols w:space="720"/>
        </w:sectPr>
      </w:pPr>
    </w:p>
    <w:p w14:paraId="1EACA1A6" w14:textId="71F72895" w:rsidR="0097509E" w:rsidRDefault="0097509E">
      <w:pPr>
        <w:pStyle w:val="BodyText"/>
        <w:spacing w:before="21" w:line="259" w:lineRule="auto"/>
        <w:ind w:left="100"/>
      </w:pPr>
    </w:p>
    <w:sectPr w:rsidR="0097509E">
      <w:pgSz w:w="11910" w:h="16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F1A44"/>
    <w:multiLevelType w:val="hybridMultilevel"/>
    <w:tmpl w:val="A622F27A"/>
    <w:lvl w:ilvl="0" w:tplc="E6C82CD4">
      <w:numFmt w:val="bullet"/>
      <w:lvlText w:val=""/>
      <w:lvlJc w:val="left"/>
      <w:pPr>
        <w:ind w:left="820" w:hanging="360"/>
      </w:pPr>
      <w:rPr>
        <w:rFonts w:ascii="Symbol" w:eastAsia="Symbol" w:hAnsi="Symbol" w:cs="Symbol" w:hint="default"/>
        <w:w w:val="100"/>
        <w:sz w:val="24"/>
        <w:szCs w:val="24"/>
        <w:lang w:val="en-US" w:eastAsia="en-US" w:bidi="ar-SA"/>
      </w:rPr>
    </w:lvl>
    <w:lvl w:ilvl="1" w:tplc="24AC3200">
      <w:numFmt w:val="bullet"/>
      <w:lvlText w:val="•"/>
      <w:lvlJc w:val="left"/>
      <w:pPr>
        <w:ind w:left="1658" w:hanging="360"/>
      </w:pPr>
      <w:rPr>
        <w:rFonts w:hint="default"/>
        <w:lang w:val="en-US" w:eastAsia="en-US" w:bidi="ar-SA"/>
      </w:rPr>
    </w:lvl>
    <w:lvl w:ilvl="2" w:tplc="799AA53E">
      <w:numFmt w:val="bullet"/>
      <w:lvlText w:val="•"/>
      <w:lvlJc w:val="left"/>
      <w:pPr>
        <w:ind w:left="2497" w:hanging="360"/>
      </w:pPr>
      <w:rPr>
        <w:rFonts w:hint="default"/>
        <w:lang w:val="en-US" w:eastAsia="en-US" w:bidi="ar-SA"/>
      </w:rPr>
    </w:lvl>
    <w:lvl w:ilvl="3" w:tplc="CB028D30">
      <w:numFmt w:val="bullet"/>
      <w:lvlText w:val="•"/>
      <w:lvlJc w:val="left"/>
      <w:pPr>
        <w:ind w:left="3335" w:hanging="360"/>
      </w:pPr>
      <w:rPr>
        <w:rFonts w:hint="default"/>
        <w:lang w:val="en-US" w:eastAsia="en-US" w:bidi="ar-SA"/>
      </w:rPr>
    </w:lvl>
    <w:lvl w:ilvl="4" w:tplc="F17A8F14">
      <w:numFmt w:val="bullet"/>
      <w:lvlText w:val="•"/>
      <w:lvlJc w:val="left"/>
      <w:pPr>
        <w:ind w:left="4174" w:hanging="360"/>
      </w:pPr>
      <w:rPr>
        <w:rFonts w:hint="default"/>
        <w:lang w:val="en-US" w:eastAsia="en-US" w:bidi="ar-SA"/>
      </w:rPr>
    </w:lvl>
    <w:lvl w:ilvl="5" w:tplc="8F22B0F6">
      <w:numFmt w:val="bullet"/>
      <w:lvlText w:val="•"/>
      <w:lvlJc w:val="left"/>
      <w:pPr>
        <w:ind w:left="5013" w:hanging="360"/>
      </w:pPr>
      <w:rPr>
        <w:rFonts w:hint="default"/>
        <w:lang w:val="en-US" w:eastAsia="en-US" w:bidi="ar-SA"/>
      </w:rPr>
    </w:lvl>
    <w:lvl w:ilvl="6" w:tplc="4598642C">
      <w:numFmt w:val="bullet"/>
      <w:lvlText w:val="•"/>
      <w:lvlJc w:val="left"/>
      <w:pPr>
        <w:ind w:left="5851" w:hanging="360"/>
      </w:pPr>
      <w:rPr>
        <w:rFonts w:hint="default"/>
        <w:lang w:val="en-US" w:eastAsia="en-US" w:bidi="ar-SA"/>
      </w:rPr>
    </w:lvl>
    <w:lvl w:ilvl="7" w:tplc="7706866E">
      <w:numFmt w:val="bullet"/>
      <w:lvlText w:val="•"/>
      <w:lvlJc w:val="left"/>
      <w:pPr>
        <w:ind w:left="6690" w:hanging="360"/>
      </w:pPr>
      <w:rPr>
        <w:rFonts w:hint="default"/>
        <w:lang w:val="en-US" w:eastAsia="en-US" w:bidi="ar-SA"/>
      </w:rPr>
    </w:lvl>
    <w:lvl w:ilvl="8" w:tplc="88CEC502">
      <w:numFmt w:val="bullet"/>
      <w:lvlText w:val="•"/>
      <w:lvlJc w:val="left"/>
      <w:pPr>
        <w:ind w:left="7529" w:hanging="360"/>
      </w:pPr>
      <w:rPr>
        <w:rFonts w:hint="default"/>
        <w:lang w:val="en-US" w:eastAsia="en-US" w:bidi="ar-SA"/>
      </w:rPr>
    </w:lvl>
  </w:abstractNum>
  <w:num w:numId="1" w16cid:durableId="29492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9E"/>
    <w:rsid w:val="0002330C"/>
    <w:rsid w:val="001F1809"/>
    <w:rsid w:val="0020633E"/>
    <w:rsid w:val="003457F1"/>
    <w:rsid w:val="0053225C"/>
    <w:rsid w:val="00560F3F"/>
    <w:rsid w:val="006E6FD3"/>
    <w:rsid w:val="00782ACC"/>
    <w:rsid w:val="008B454B"/>
    <w:rsid w:val="0096359C"/>
    <w:rsid w:val="00973FFF"/>
    <w:rsid w:val="0097509E"/>
    <w:rsid w:val="009B016F"/>
    <w:rsid w:val="00A527B4"/>
    <w:rsid w:val="00BD55EB"/>
    <w:rsid w:val="00C475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CA0C3"/>
  <w15:docId w15:val="{77659FBF-7E4F-4EA4-AF89-55D8CD25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9"/>
      <w:ind w:left="100"/>
      <w:outlineLvl w:val="0"/>
    </w:pPr>
    <w:rPr>
      <w:b/>
      <w:bCs/>
      <w:sz w:val="24"/>
      <w:szCs w:val="24"/>
      <w:u w:val="single" w:color="000000"/>
    </w:rPr>
  </w:style>
  <w:style w:type="paragraph" w:styleId="Heading2">
    <w:name w:val="heading 2"/>
    <w:basedOn w:val="Normal"/>
    <w:next w:val="Normal"/>
    <w:link w:val="Heading2Char"/>
    <w:uiPriority w:val="9"/>
    <w:unhideWhenUsed/>
    <w:qFormat/>
    <w:rsid w:val="008B45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8B45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584</Words>
  <Characters>3611</Characters>
  <Application>Microsoft Office Word</Application>
  <DocSecurity>0</DocSecurity>
  <Lines>97</Lines>
  <Paragraphs>41</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Udit Aggarwal</dc:creator>
  <cp:lastModifiedBy>MOHINI SWAMI  _20A</cp:lastModifiedBy>
  <cp:revision>6</cp:revision>
  <dcterms:created xsi:type="dcterms:W3CDTF">2024-02-21T16:40:00Z</dcterms:created>
  <dcterms:modified xsi:type="dcterms:W3CDTF">2024-02-21T16:47:00Z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2019</vt:lpwstr>
  </property>
  <property fmtid="{D5CDD505-2E9C-101B-9397-08002B2CF9AE}" pid="4" name="LastSaved">
    <vt:filetime>2024-02-21T00:00:00Z</vt:filetime>
  </property>
  <property fmtid="{D5CDD505-2E9C-101B-9397-08002B2CF9AE}" pid="5" name="GrammarlyDocumentId">
    <vt:lpwstr>ac95eea19171025f998cd19b71671aa40487057f4893e45e595d0f287448ab37</vt:lpwstr>
  </property>
</Properties>
</file>