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Sigma notation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Quadratic formula</w:t>
        </w:r>
      </w:hyperlink>
      <w:r>
        <w:t xml:space="preserve"> </w:t>
      </w:r>
      <w:r>
        <w:t xml:space="preserve">–</w:t>
      </w:r>
      <w:r>
        <w:t xml:space="preserve"> </w:t>
      </w:r>
      <w:hyperlink r:id="rId23">
        <w:r>
          <w:rPr>
            <w:rStyle w:val="Hyperlink"/>
          </w:rPr>
          <w:t xml:space="preserve">questions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Intro to quadratic equations</w:t>
        </w:r>
      </w:hyperlink>
      <w:r>
        <w:t xml:space="preserve"> </w:t>
      </w:r>
      <w:r>
        <w:t xml:space="preserve">–</w:t>
      </w:r>
    </w:p>
    <w:bookmarkStart w:id="31" w:name="list-of-topics-sections"/>
    <w:p>
      <w:pPr>
        <w:pStyle w:val="Heading1"/>
      </w:pPr>
      <w:r>
        <w:t xml:space="preserve">List of topics / sections</w:t>
      </w:r>
    </w:p>
    <w:bookmarkStart w:id="28" w:name="vectors"/>
    <w:p>
      <w:pPr>
        <w:pStyle w:val="Heading2"/>
      </w:pPr>
      <w:r>
        <w:t xml:space="preserve">Vectors</w:t>
      </w:r>
    </w:p>
    <w:bookmarkStart w:id="25" w:name="initial"/>
    <w:p>
      <w:pPr>
        <w:pStyle w:val="Heading3"/>
      </w:pPr>
      <w:r>
        <w:t xml:space="preserve">Initial</w:t>
      </w:r>
    </w:p>
    <w:p>
      <w:pPr>
        <w:numPr>
          <w:ilvl w:val="0"/>
          <w:numId w:val="1001"/>
        </w:numPr>
      </w:pPr>
      <w:r>
        <w:t xml:space="preserve">What is a vector? (vector notation, positive, negative, zero, addition, scalar multiplication)</w:t>
      </w:r>
    </w:p>
    <w:p>
      <w:pPr>
        <w:numPr>
          <w:ilvl w:val="0"/>
          <w:numId w:val="1001"/>
        </w:numPr>
      </w:pPr>
      <w:r>
        <w:t xml:space="preserve">Geometric properties of vectors (relation to 3D geometry, ijk/column vector notation, length, unit vectors)</w:t>
      </w:r>
    </w:p>
    <w:bookmarkEnd w:id="25"/>
    <w:bookmarkStart w:id="26" w:name="operations"/>
    <w:p>
      <w:pPr>
        <w:pStyle w:val="Heading3"/>
      </w:pPr>
      <w:r>
        <w:t xml:space="preserve">Operations</w:t>
      </w:r>
    </w:p>
    <w:p>
      <w:pPr>
        <w:numPr>
          <w:ilvl w:val="0"/>
          <w:numId w:val="1002"/>
        </w:numPr>
      </w:pPr>
      <w:r>
        <w:t xml:space="preserve">The scalar product</w:t>
      </w:r>
    </w:p>
    <w:p>
      <w:pPr>
        <w:numPr>
          <w:ilvl w:val="0"/>
          <w:numId w:val="1002"/>
        </w:numPr>
      </w:pPr>
      <w:r>
        <w:t xml:space="preserve">The vector product</w:t>
      </w:r>
    </w:p>
    <w:p>
      <w:pPr>
        <w:numPr>
          <w:ilvl w:val="0"/>
          <w:numId w:val="1002"/>
        </w:numPr>
      </w:pPr>
      <w:r>
        <w:t xml:space="preserve">Triple products</w:t>
      </w:r>
    </w:p>
    <w:bookmarkEnd w:id="26"/>
    <w:bookmarkStart w:id="27" w:name="geometry"/>
    <w:p>
      <w:pPr>
        <w:pStyle w:val="Heading3"/>
      </w:pPr>
      <w:r>
        <w:t xml:space="preserve">Geometry</w:t>
      </w:r>
    </w:p>
    <w:p>
      <w:pPr>
        <w:numPr>
          <w:ilvl w:val="0"/>
          <w:numId w:val="1003"/>
        </w:numPr>
      </w:pPr>
      <w:r>
        <w:t xml:space="preserve">Vector equations of lines</w:t>
      </w:r>
    </w:p>
    <w:p>
      <w:pPr>
        <w:numPr>
          <w:ilvl w:val="0"/>
          <w:numId w:val="1003"/>
        </w:numPr>
      </w:pPr>
      <w:r>
        <w:t xml:space="preserve">Vector equations of planes</w:t>
      </w:r>
    </w:p>
    <w:p>
      <w:pPr>
        <w:numPr>
          <w:ilvl w:val="0"/>
          <w:numId w:val="1003"/>
        </w:numPr>
      </w:pPr>
      <w:r>
        <w:t xml:space="preserve">Solving geometric problems with vectors</w:t>
      </w:r>
    </w:p>
    <w:bookmarkEnd w:id="27"/>
    <w:bookmarkEnd w:id="28"/>
    <w:bookmarkStart w:id="30" w:name="algebra"/>
    <w:p>
      <w:pPr>
        <w:pStyle w:val="Heading2"/>
      </w:pPr>
      <w:r>
        <w:t xml:space="preserve">Algebra</w:t>
      </w:r>
    </w:p>
    <w:bookmarkStart w:id="29" w:name="arithmetic"/>
    <w:p>
      <w:pPr>
        <w:pStyle w:val="Heading3"/>
      </w:pPr>
      <w:r>
        <w:t xml:space="preserve">Arithmetic</w:t>
      </w:r>
    </w:p>
    <w:p>
      <w:pPr>
        <w:numPr>
          <w:ilvl w:val="0"/>
          <w:numId w:val="1004"/>
        </w:numPr>
      </w:pPr>
      <w:r>
        <w:t xml:space="preserve">Sigma notation</w:t>
      </w:r>
    </w:p>
    <w:p>
      <w:pPr>
        <w:numPr>
          <w:ilvl w:val="0"/>
          <w:numId w:val="1004"/>
        </w:numPr>
      </w:pPr>
      <w:r>
        <w:t xml:space="preserve">Pi notation</w:t>
      </w:r>
    </w:p>
    <w:bookmarkEnd w:id="29"/>
    <w:bookmarkEnd w:id="30"/>
    <w:bookmarkEnd w:id="31"/>
    <w:bookmarkStart w:id="35" w:name="lanas-list"/>
    <w:p>
      <w:pPr>
        <w:pStyle w:val="Heading1"/>
      </w:pPr>
      <w:r>
        <w:t xml:space="preserve">Lana’s list</w:t>
      </w:r>
    </w:p>
    <w:bookmarkStart w:id="32" w:name="easy-enough-to-learn-but-still-useful"/>
    <w:p>
      <w:pPr>
        <w:pStyle w:val="Heading2"/>
      </w:pPr>
      <w:r>
        <w:t xml:space="preserve">easy enough to learn but still useful</w:t>
      </w:r>
    </w:p>
    <w:p>
      <w:pPr>
        <w:numPr>
          <w:ilvl w:val="0"/>
          <w:numId w:val="1005"/>
        </w:numPr>
        <w:pStyle w:val="Compact"/>
      </w:pPr>
      <w:r>
        <w:t xml:space="preserve">Sets</w:t>
      </w:r>
    </w:p>
    <w:p>
      <w:pPr>
        <w:numPr>
          <w:ilvl w:val="0"/>
          <w:numId w:val="1005"/>
        </w:numPr>
        <w:pStyle w:val="Compact"/>
      </w:pPr>
      <w:r>
        <w:t xml:space="preserve">Proofs</w:t>
      </w:r>
    </w:p>
    <w:p>
      <w:pPr>
        <w:numPr>
          <w:ilvl w:val="0"/>
          <w:numId w:val="1005"/>
        </w:numPr>
        <w:pStyle w:val="Compact"/>
      </w:pPr>
      <w:r>
        <w:t xml:space="preserve">Differentiation and derivatives</w:t>
      </w:r>
    </w:p>
    <w:p>
      <w:pPr>
        <w:numPr>
          <w:ilvl w:val="0"/>
          <w:numId w:val="1005"/>
        </w:numPr>
        <w:pStyle w:val="Compact"/>
      </w:pPr>
      <w:r>
        <w:t xml:space="preserve">Logs and exponentials</w:t>
      </w:r>
    </w:p>
    <w:bookmarkEnd w:id="32"/>
    <w:bookmarkStart w:id="33" w:name="others"/>
    <w:p>
      <w:pPr>
        <w:pStyle w:val="Heading2"/>
      </w:pPr>
      <w:r>
        <w:t xml:space="preserve">Others</w:t>
      </w:r>
    </w:p>
    <w:p>
      <w:pPr>
        <w:numPr>
          <w:ilvl w:val="0"/>
          <w:numId w:val="1006"/>
        </w:numPr>
        <w:pStyle w:val="Compact"/>
      </w:pPr>
      <w:r>
        <w:t xml:space="preserve">Integrals</w:t>
      </w:r>
    </w:p>
    <w:p>
      <w:pPr>
        <w:numPr>
          <w:ilvl w:val="0"/>
          <w:numId w:val="1006"/>
        </w:numPr>
        <w:pStyle w:val="Compact"/>
      </w:pPr>
      <w:r>
        <w:t xml:space="preserve">Vectors</w:t>
      </w:r>
    </w:p>
    <w:p>
      <w:pPr>
        <w:numPr>
          <w:ilvl w:val="0"/>
          <w:numId w:val="1006"/>
        </w:numPr>
        <w:pStyle w:val="Compact"/>
      </w:pPr>
      <w:r>
        <w:t xml:space="preserve">Matrices</w:t>
      </w:r>
    </w:p>
    <w:p>
      <w:pPr>
        <w:numPr>
          <w:ilvl w:val="0"/>
          <w:numId w:val="1006"/>
        </w:numPr>
        <w:pStyle w:val="Compact"/>
      </w:pPr>
      <w:r>
        <w:t xml:space="preserve">Linear Algebra</w:t>
      </w:r>
    </w:p>
    <w:bookmarkEnd w:id="33"/>
    <w:bookmarkStart w:id="34" w:name="general-mathematical-notation-such-as"/>
    <w:p>
      <w:pPr>
        <w:pStyle w:val="Heading2"/>
      </w:pPr>
      <w:r>
        <w:t xml:space="preserve">General mathematical notation such as</w:t>
      </w:r>
    </w:p>
    <w:p>
      <w:pPr>
        <w:numPr>
          <w:ilvl w:val="0"/>
          <w:numId w:val="1007"/>
        </w:numPr>
        <w:pStyle w:val="Compact"/>
      </w:pPr>
      <w:r>
        <w:t xml:space="preserve">Greek symbols and their names</w:t>
      </w:r>
    </w:p>
    <w:p>
      <w:pPr>
        <w:numPr>
          <w:ilvl w:val="0"/>
          <w:numId w:val="1007"/>
        </w:numPr>
        <w:pStyle w:val="Compact"/>
      </w:pPr>
      <w:r>
        <w:t xml:space="preserve">Sigma notation</w:t>
      </w:r>
    </w:p>
    <w:p>
      <w:pPr>
        <w:numPr>
          <w:ilvl w:val="0"/>
          <w:numId w:val="1007"/>
        </w:numPr>
        <w:pStyle w:val="Compact"/>
      </w:pPr>
      <w:r>
        <w:t xml:space="preserve">The lines and hats over letters (sorry don’t know the word)</w:t>
      </w:r>
    </w:p>
    <w:p>
      <w:pPr>
        <w:numPr>
          <w:ilvl w:val="0"/>
          <w:numId w:val="1007"/>
        </w:numPr>
        <w:pStyle w:val="Compact"/>
      </w:pPr>
      <w:r>
        <w:t xml:space="preserve">Indexing in equations</w:t>
      </w:r>
    </w:p>
    <w:bookmarkEnd w:id="34"/>
    <w:bookmarkEnd w:id="35"/>
    <w:bookmarkStart w:id="36" w:name="question-words"/>
    <w:p>
      <w:pPr>
        <w:pStyle w:val="Heading1"/>
      </w:pPr>
      <w:r>
        <w:t xml:space="preserve">Question words</w:t>
      </w:r>
    </w:p>
    <w:p>
      <w:pPr>
        <w:pStyle w:val="FirstParagraph"/>
      </w:pPr>
      <w:r>
        <w:t xml:space="preserve">Question words</w:t>
      </w:r>
    </w:p>
    <w:p>
      <w:pPr>
        <w:numPr>
          <w:ilvl w:val="0"/>
          <w:numId w:val="1008"/>
        </w:numPr>
      </w:pPr>
      <w:r>
        <w:t xml:space="preserve">Prove that…</w:t>
      </w:r>
    </w:p>
    <w:p>
      <w:pPr>
        <w:numPr>
          <w:ilvl w:val="0"/>
          <w:numId w:val="1008"/>
        </w:numPr>
      </w:pPr>
      <w:r>
        <w:t xml:space="preserve">Verify that…</w:t>
      </w:r>
    </w:p>
    <w:p>
      <w:pPr>
        <w:numPr>
          <w:ilvl w:val="0"/>
          <w:numId w:val="1008"/>
        </w:numPr>
      </w:pPr>
      <w:r>
        <w:t xml:space="preserve">Evaluate…</w:t>
      </w:r>
    </w:p>
    <w:p>
      <w:pPr>
        <w:numPr>
          <w:ilvl w:val="0"/>
          <w:numId w:val="1008"/>
        </w:numPr>
      </w:pPr>
      <w:r>
        <w:t xml:space="preserve">Show that…</w:t>
      </w:r>
    </w:p>
    <w:p>
      <w:pPr>
        <w:numPr>
          <w:ilvl w:val="0"/>
          <w:numId w:val="1008"/>
        </w:numPr>
      </w:pPr>
      <w:r>
        <w:t xml:space="preserve">Calculate…</w:t>
      </w:r>
    </w:p>
    <w:p>
      <w:pPr>
        <w:numPr>
          <w:ilvl w:val="0"/>
          <w:numId w:val="1008"/>
        </w:numPr>
      </w:pPr>
      <w:r>
        <w:t xml:space="preserve">Find…</w:t>
      </w:r>
    </w:p>
    <w:p>
      <w:pPr>
        <w:numPr>
          <w:ilvl w:val="0"/>
          <w:numId w:val="1008"/>
        </w:numPr>
      </w:pPr>
      <w:r>
        <w:t xml:space="preserve">Exhibit…</w:t>
      </w:r>
    </w:p>
    <w:p>
      <w:pPr>
        <w:numPr>
          <w:ilvl w:val="0"/>
          <w:numId w:val="1008"/>
        </w:numPr>
      </w:pPr>
      <w:r>
        <w:t xml:space="preserve">Describe…</w:t>
      </w:r>
    </w:p>
    <w:p>
      <w:pPr>
        <w:numPr>
          <w:ilvl w:val="0"/>
          <w:numId w:val="1008"/>
        </w:numPr>
      </w:pPr>
      <w:r>
        <w:t xml:space="preserve">Sketch…</w:t>
      </w:r>
    </w:p>
    <w:p>
      <w:pPr>
        <w:numPr>
          <w:ilvl w:val="0"/>
          <w:numId w:val="1008"/>
        </w:numPr>
      </w:pPr>
      <w:r>
        <w:t xml:space="preserve">Compute…</w:t>
      </w:r>
    </w:p>
    <w:p>
      <w:pPr>
        <w:numPr>
          <w:ilvl w:val="0"/>
          <w:numId w:val="1008"/>
        </w:numPr>
      </w:pPr>
      <w:r>
        <w:t xml:space="preserve">Deduce…</w:t>
      </w:r>
    </w:p>
    <w:p>
      <w:pPr>
        <w:numPr>
          <w:ilvl w:val="0"/>
          <w:numId w:val="1008"/>
        </w:numPr>
      </w:pPr>
      <w:r>
        <w:t xml:space="preserve">Calculate…</w:t>
      </w:r>
    </w:p>
    <w:p>
      <w:pPr>
        <w:numPr>
          <w:ilvl w:val="0"/>
          <w:numId w:val="1008"/>
        </w:numPr>
      </w:pPr>
      <w:r>
        <w:t xml:space="preserve">Explain…</w:t>
      </w:r>
    </w:p>
    <w:p>
      <w:pPr>
        <w:numPr>
          <w:ilvl w:val="0"/>
          <w:numId w:val="1008"/>
        </w:numPr>
      </w:pPr>
      <w:r>
        <w:t xml:space="preserve">Justify…</w:t>
      </w:r>
    </w:p>
    <w:p>
      <w:pPr>
        <w:numPr>
          <w:ilvl w:val="0"/>
          <w:numId w:val="1008"/>
        </w:numPr>
      </w:pPr>
      <w:r>
        <w:t xml:space="preserve">Conclude…</w:t>
      </w:r>
    </w:p>
    <w:p>
      <w:pPr>
        <w:numPr>
          <w:ilvl w:val="0"/>
          <w:numId w:val="1008"/>
        </w:numPr>
      </w:pPr>
      <w:r>
        <w:t xml:space="preserve">Is this true? Or false?</w:t>
      </w:r>
    </w:p>
    <w:p>
      <w:pPr>
        <w:numPr>
          <w:ilvl w:val="0"/>
          <w:numId w:val="1008"/>
        </w:numPr>
      </w:pPr>
      <w:r>
        <w:t xml:space="preserve">Using X or otherwise…</w:t>
      </w:r>
    </w:p>
    <w:p>
      <w:pPr>
        <w:numPr>
          <w:ilvl w:val="0"/>
          <w:numId w:val="1008"/>
        </w:numPr>
      </w:pPr>
      <w:r>
        <w:t xml:space="preserve">Define…</w:t>
      </w:r>
    </w:p>
    <w:p>
      <w:pPr>
        <w:numPr>
          <w:ilvl w:val="0"/>
          <w:numId w:val="1008"/>
        </w:numPr>
      </w:pPr>
      <w:r>
        <w:t xml:space="preserve">State…</w:t>
      </w:r>
    </w:p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Relationship Type="http://schemas.openxmlformats.org/officeDocument/2006/relationships/hyperlink" Id="rId24" Target="introtoquadratics.qmd" TargetMode="External" /><Relationship Type="http://schemas.openxmlformats.org/officeDocument/2006/relationships/hyperlink" Id="rId23" Target="qs-quadraticformula.qmd" TargetMode="External" /><Relationship Type="http://schemas.openxmlformats.org/officeDocument/2006/relationships/hyperlink" Id="rId22" Target="quadraticformula.qmd" TargetMode="External" /><Relationship Type="http://schemas.openxmlformats.org/officeDocument/2006/relationships/hyperlink" Id="rId21" Target="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Relationship Type="http://schemas.openxmlformats.org/officeDocument/2006/relationships/hyperlink" Id="rId24" Target="introtoquadratics.qmd" TargetMode="External" /><Relationship Type="http://schemas.openxmlformats.org/officeDocument/2006/relationships/hyperlink" Id="rId23" Target="qs-quadraticformula.qmd" TargetMode="External" /><Relationship Type="http://schemas.openxmlformats.org/officeDocument/2006/relationships/hyperlink" Id="rId22" Target="quadraticformula.qmd" TargetMode="External" /><Relationship Type="http://schemas.openxmlformats.org/officeDocument/2006/relationships/hyperlink" Id="rId21" Target="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</dc:title>
  <dc:creator/>
  <cp:keywords/>
  <dcterms:created xsi:type="dcterms:W3CDTF">2023-05-10T15:05:06Z</dcterms:created>
  <dcterms:modified xsi:type="dcterms:W3CDTF">2023-05-10T15:05:06Z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website">
    <vt:lpwstr/>
  </property>
</Properties>
</file>