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9.png" ContentType="image/png"/>
  <Override PartName="/word/media/rId43.png" ContentType="image/png"/>
  <Override PartName="/word/media/rId4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complex numbers).</w:t>
      </w:r>
    </w:p>
    <w:bookmarkStart w:id="35" w:name="what-is-a-quadratic-equation"/>
    <w:p>
      <w:pPr>
        <w:pStyle w:val="Heading2"/>
      </w:pPr>
      <w:r>
        <w:t xml:space="preserve">What is a quadratic equation?</w:t>
      </w:r>
    </w:p>
    <w:p>
      <w:pPr>
        <w:pStyle w:val="FirstParagraph"/>
      </w:pPr>
      <w:r>
        <w:t xml:space="preserve">Equations in one variable come in all shapes and sizes.</w:t>
      </w:r>
    </w:p>
    <w:p>
      <w:pPr>
        <w:pStyle w:val="BodyText"/>
      </w:pPr>
      <w:r>
        <w:t xml:space="preserve">One of the most important types of an equation is known as a</w:t>
      </w:r>
      <w:r>
        <w:t xml:space="preserve"> </w:t>
      </w:r>
      <w:r>
        <w:rPr>
          <w:bCs/>
          <w:b/>
        </w:rPr>
        <w:t xml:space="preserve">quadratic equation</w:t>
      </w:r>
      <w:r>
        <w:t xml:space="preserve">. These appear almost everywhere in mathematics, from modelling projectile motion in mechanics to describing circles, ellipses, parabolas and hyperbolas in 2D space.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tblPr>
      <w:tblGrid>
        <w:gridCol w:w="7920"/>
      </w:tblGrid>
      <w:tr>
        <w:tc>
          <w:tcPr/>
          <w:bookmarkStart w:id="26" w:name="fig-1"/>
          <w:p>
            <w:pPr>
              <w:pStyle w:val="Figure"/>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6" w:name="solving-a-quadratic-equation"/>
    <w:p>
      <w:pPr>
        <w:pStyle w:val="Heading2"/>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0"/>
        </w:numPr>
      </w:pPr>
      <w:r>
        <w:t xml:space="preserve">.</w:t>
      </w:r>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w:t>
      </w:r>
    </w:p>
    <w:bookmarkEnd w:id="36"/>
    <w:bookmarkStart w:id="59" w:name="the-discriminant"/>
    <w:p>
      <w:pPr>
        <w:pStyle w:val="Heading2"/>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tblPr>
      <w:tblGrid>
        <w:gridCol w:w="7920"/>
      </w:tblGrid>
      <w:tr>
        <w:tc>
          <w:tcPr/>
          <w:bookmarkStart w:id="42" w:name="fig-2"/>
          <w:p>
            <w:pPr>
              <w:pStyle w:val="Figure"/>
              <w:jc w:val="center"/>
            </w:pPr>
            <w:r>
              <w:drawing>
                <wp:inline>
                  <wp:extent cx="5755521" cy="2238597"/>
                  <wp:effectExtent b="0" l="0" r="0" t="0"/>
                  <wp:docPr descr="" title="" id="40" name="Picture"/>
                  <a:graphic>
                    <a:graphicData uri="http://schemas.openxmlformats.org/drawingml/2006/picture">
                      <pic:pic>
                        <pic:nvPicPr>
                          <pic:cNvPr descr="./FiguresPNG/introtoquadratics-fig2-2.png" id="41" name="Picture"/>
                          <pic:cNvPicPr>
                            <a:picLocks noChangeArrowheads="1" noChangeAspect="1"/>
                          </pic:cNvPicPr>
                        </pic:nvPicPr>
                        <pic:blipFill>
                          <a:blip r:embed="rId3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2"/>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tblPr>
      <w:tblGrid>
        <w:gridCol w:w="7920"/>
      </w:tblGrid>
      <w:tr>
        <w:tc>
          <w:tcPr/>
          <w:bookmarkStart w:id="46" w:name="fig-3"/>
          <w:p>
            <w:pPr>
              <w:pStyle w:val="Figure"/>
              <w:jc w:val="center"/>
            </w:pPr>
            <w:r>
              <w:drawing>
                <wp:inline>
                  <wp:extent cx="5755521" cy="2238597"/>
                  <wp:effectExtent b="0" l="0" r="0" t="0"/>
                  <wp:docPr descr="" title="" id="44" name="Picture"/>
                  <a:graphic>
                    <a:graphicData uri="http://schemas.openxmlformats.org/drawingml/2006/picture">
                      <pic:pic>
                        <pic:nvPicPr>
                          <pic:cNvPr descr="./FiguresPNG/introtoquadratics-fig3-3.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6"/>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tblPr>
      <w:tblGrid>
        <w:gridCol w:w="7920"/>
      </w:tblGrid>
      <w:tr>
        <w:tc>
          <w:tcPr/>
          <w:bookmarkStart w:id="50" w:name="fig-4"/>
          <w:p>
            <w:pPr>
              <w:pStyle w:val="Figure"/>
              <w:jc w:val="center"/>
            </w:pPr>
            <w:r>
              <w:drawing>
                <wp:inline>
                  <wp:extent cx="5755521" cy="2238597"/>
                  <wp:effectExtent b="0" l="0" r="0" t="0"/>
                  <wp:docPr descr="" title="" id="48" name="Picture"/>
                  <a:graphic>
                    <a:graphicData uri="http://schemas.openxmlformats.org/drawingml/2006/picture">
                      <pic:pic>
                        <pic:nvPicPr>
                          <pic:cNvPr descr="./FiguresPNG/introtoquadratics-fig4-4.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0"/>
        </w:tc>
      </w:tr>
    </w:tbl>
    <w:p>
      <w:pPr>
        <w:pStyle w:val="BodyText"/>
      </w:pPr>
      <w:r>
        <w:t xml:space="preserve">You can use the discriminant to check how many roots a quadratic equation has in the variable given to you. However, this is at most a maximum number of solutions. Conditions on that variable may also reduce the number of valid solutions, particular if you have real valued functions. 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sSup>
                <m:e>
                  <m:r>
                    <m:t>y</m:t>
                  </m:r>
                </m:e>
                <m:sup>
                  <m:r>
                    <m:t>2</m:t>
                  </m:r>
                </m:sup>
              </m:sSup>
              <m:r>
                <m:rPr>
                  <m:sty m:val="p"/>
                </m:rPr>
                <m:t>=</m:t>
              </m:r>
              <m:r>
                <m:t>r</m:t>
              </m:r>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59"/>
    <w:bookmarkStart w:id="60" w:name="quick-check-problems"/>
    <w:p>
      <w:pPr>
        <w:pStyle w:val="Heading2"/>
      </w:pPr>
      <w:r>
        <w:t xml:space="preserve">Quick check problems</w:t>
      </w:r>
    </w:p>
    <w:p>
      <w:pPr>
        <w:numPr>
          <w:ilvl w:val="0"/>
          <w:numId w:val="1005"/>
        </w:numPr>
        <w:pStyle w:val="Compact"/>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Style w:val="Compact"/>
      </w:pPr>
      <m:oMath>
        <m:r>
          <m:rPr>
            <m:sty m:val="p"/>
          </m:rPr>
          <m:t>−</m:t>
        </m:r>
        <m:r>
          <m:t>1</m:t>
        </m:r>
        <m:r>
          <m:t>  </m:t>
        </m:r>
      </m:oMath>
      <w:r>
        <w:t xml:space="preserve"> </w:t>
      </w:r>
      <w:r>
        <w:t xml:space="preserve">(b)</w:t>
      </w:r>
      <w:r>
        <w:t xml:space="preserve"> </w:t>
      </w:r>
      <m:oMath>
        <m:r>
          <m:t>1</m:t>
        </m:r>
        <m:r>
          <m:t>  </m:t>
        </m:r>
      </m:oMath>
      <w:r>
        <w:t xml:space="preserve"> </w:t>
      </w:r>
      <w:r>
        <w:t xml:space="preserve">(c)</w:t>
      </w:r>
      <w:r>
        <w:t xml:space="preserve"> </w:t>
      </w:r>
      <m:oMath>
        <m:r>
          <m:t>5</m:t>
        </m:r>
        <m:r>
          <m:t>  </m:t>
        </m:r>
      </m:oMath>
      <w:r>
        <w:t xml:space="preserve"> </w:t>
      </w:r>
      <w:r>
        <w:t xml:space="preserve">(d)</w:t>
      </w:r>
      <w:r>
        <w:t xml:space="preserve"> </w:t>
      </w:r>
      <m:oMath>
        <m:r>
          <m:rPr>
            <m:sty m:val="p"/>
          </m:rPr>
          <m:t>−</m:t>
        </m:r>
        <m:r>
          <m:t>5</m:t>
        </m:r>
      </m:oMath>
      <w:r>
        <w:t xml:space="preserve">.</w:t>
      </w:r>
    </w:p>
    <w:bookmarkEnd w:id="60"/>
    <w:bookmarkStart w:id="61" w:name="further-reading"/>
    <w:p>
      <w:pPr>
        <w:pStyle w:val="Heading2"/>
      </w:pPr>
      <w:r>
        <w:t xml:space="preserve">Further reading</w:t>
      </w:r>
    </w:p>
    <w:p>
      <w:pPr>
        <w:pStyle w:val="FirstParagraph"/>
      </w:pPr>
      <w:r>
        <w:t xml:space="preserve">(Guide: Polynomial long division)</w:t>
      </w:r>
    </w:p>
    <w:bookmarkEnd w:id="6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2023-05-10T15:05:32Z</dcterms:created>
  <dcterms:modified xsi:type="dcterms:W3CDTF">2023-05-10T15:05:32Z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