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Equations in one variable come in all shapes and sizes.</w:t>
      </w:r>
    </w:p>
    <w:p>
      <w:pPr>
        <w:pStyle w:val="BodyText"/>
      </w:pPr>
      <w:r>
        <w:t xml:space="preserve">One of the most important types of an equation is known as a</w:t>
      </w:r>
      <w:r>
        <w:t xml:space="preserve"> </w:t>
      </w:r>
      <w:r>
        <w:rPr>
          <w:bCs/>
          <w:b/>
        </w:rPr>
        <w:t xml:space="preserve">quadratic equation</w:t>
      </w:r>
      <w:r>
        <w:t xml:space="preserve">. These appear almost everywhere in mathematics, from modelling projectile motion in mechanics to describing circles, ellipses, parabolas and hyperbolas in 2D space.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tblPr>
      <w:tblGrid>
        <w:gridCol w:w="7920"/>
      </w:tblGrid>
      <w:tr>
        <w:tc>
          <w:tcPr/>
          <w:bookmarkStart w:id="26" w:name="fig-1"/>
          <w:p>
            <w:pPr>
              <w:pStyle w:val="Figure"/>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tblPr>
      <w:tblGrid>
        <w:gridCol w:w="7920"/>
      </w:tblGrid>
      <w:tr>
        <w:tc>
          <w:tcPr/>
          <w:bookmarkStart w:id="43" w:name="fig-2"/>
          <w:p>
            <w:pPr>
              <w:pStyle w:val="Figure"/>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tblPr>
      <w:tblGrid>
        <w:gridCol w:w="7920"/>
      </w:tblGrid>
      <w:tr>
        <w:tc>
          <w:tcPr/>
          <w:bookmarkStart w:id="47" w:name="fig-3"/>
          <w:p>
            <w:pPr>
              <w:pStyle w:val="Figure"/>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tblPr>
      <w:tblGrid>
        <w:gridCol w:w="7920"/>
      </w:tblGrid>
      <w:tr>
        <w:tc>
          <w:tcPr/>
          <w:bookmarkStart w:id="51" w:name="fig-4"/>
          <w:p>
            <w:pPr>
              <w:pStyle w:val="Figure"/>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sSup>
                <m:e>
                  <m:r>
                    <m:t>y</m:t>
                  </m:r>
                </m:e>
                <m:sup>
                  <m:r>
                    <m:t>2</m:t>
                  </m:r>
                </m:sup>
              </m:sSup>
              <m:r>
                <m:rPr>
                  <m:sty m:val="p"/>
                </m:rPr>
                <m:t>=</m:t>
              </m:r>
              <m:r>
                <m:t>r</m:t>
              </m:r>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Style w:val="Compact"/>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click on this sentence.</w:t>
        </w:r>
      </w:hyperlink>
    </w:p>
    <w:bookmarkEnd w:id="65"/>
    <w:bookmarkStart w:id="66" w:name="further-reading"/>
    <w:p>
      <w:pPr>
        <w:pStyle w:val="Heading2"/>
      </w:pPr>
      <w:r>
        <w:t xml:space="preserve">Further reading</w:t>
      </w:r>
    </w:p>
    <w:p>
      <w:pPr>
        <w:pStyle w:val="FirstParagraph"/>
      </w:pPr>
      <w:r>
        <w:t xml:space="preserve">(Guide: Using the quadratic formula)</w:t>
      </w:r>
    </w:p>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s-introtoquadratics.qmd"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s-introtoquadratics.qmd"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2023-05-17T13:46:12Z</dcterms:created>
  <dcterms:modified xsi:type="dcterms:W3CDTF">2023-05-17T13:46:12Z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