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quadratic equations) In addition, the proof of the quadratic formula relies on the technique of</w:t>
      </w:r>
      <w:r>
        <w:rPr>
          <w:iCs/>
          <w:i/>
        </w:rPr>
        <w:t xml:space="preserve"> </w:t>
      </w:r>
      <w:r>
        <w:rPr>
          <w:iCs/>
          <w:i/>
        </w:rPr>
        <w:t xml:space="preserve">‘</w:t>
      </w:r>
      <w:r>
        <w:rPr>
          <w:iCs/>
          <w:i/>
        </w:rPr>
        <w:t xml:space="preserve">completing the square</w:t>
      </w:r>
      <w:r>
        <w:rPr>
          <w:iCs/>
          <w:i/>
        </w:rPr>
        <w:t xml:space="preserve">’</w:t>
      </w:r>
      <w:r>
        <w:rPr>
          <w:iCs/>
          <w:i/>
        </w:rPr>
        <w:t xml:space="preserve">; see (Guide: Completing the square) for more.</w:t>
      </w:r>
    </w:p>
    <w:bookmarkStart w:id="24" w:name="what-is-the-quadratic-formula"/>
    <w:p>
      <w:pPr>
        <w:pStyle w:val="Heading2"/>
      </w:pPr>
      <w:r>
        <w:t xml:space="preserve">What is the quadratic formula?</w:t>
      </w:r>
    </w:p>
    <w:p>
      <w:pPr>
        <w:pStyle w:val="FirstParagraph"/>
      </w:pPr>
      <w:r>
        <w:t xml:space="preserve">(BLURB)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positive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negative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bookmarkStart w:id="23" w:name="why-use-the-quadratic-formula"/>
    <w:p>
      <w:pPr>
        <w:pStyle w:val="Heading3"/>
      </w:pPr>
      <w:r>
        <w:t xml:space="preserve">Why use the quadratic formula?</w:t>
      </w:r>
    </w:p>
    <w:p>
      <w:pPr>
        <w:pStyle w:val="FirstParagraph"/>
      </w:pPr>
      <w:r>
        <w:t xml:space="preserve">(BLURB)</w:t>
      </w:r>
    </w:p>
    <w:bookmarkEnd w:id="23"/>
    <w:bookmarkEnd w:id="24"/>
    <w:bookmarkStart w:id="38" w:name="using-the-quadratic-formula"/>
    <w:p>
      <w:pPr>
        <w:pStyle w:val="Heading2"/>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3">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bookmarkEnd w:id="38"/>
    <w:bookmarkStart w:id="41" w:name="why-does-the-quadratic-formula-work"/>
    <w:p>
      <w:pPr>
        <w:pStyle w:val="Heading2"/>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w:t>
      </w:r>
    </w:p>
    <w:p>
      <w:pPr>
        <w:pStyle w:val="BodyText"/>
      </w:pPr>
      <w:r>
        <w:t xml:space="preserve">To do this; you can</w:t>
      </w:r>
      <w:r>
        <w:t xml:space="preserve"> </w:t>
      </w:r>
      <w:r>
        <w:rPr>
          <w:bCs/>
          <w:b/>
        </w:rPr>
        <w:t xml:space="preserve">complete the square</w:t>
      </w:r>
      <w:r>
        <w:t xml:space="preserve"> </w:t>
      </w:r>
      <w:r>
        <w:t xml:space="preserve">on</w:t>
      </w:r>
      <w:r>
        <w:t xml:space="preserve"> </w:t>
      </w:r>
      <m:oMath>
        <m:r>
          <m:t>a</m:t>
        </m:r>
        <m:sSup>
          <m:e>
            <m:r>
              <m:t>x</m:t>
            </m:r>
          </m:e>
          <m:sup>
            <m:r>
              <m:t>2</m:t>
            </m:r>
          </m:sup>
        </m:sSup>
        <m:r>
          <m:rPr>
            <m:sty m:val="p"/>
          </m:rPr>
          <m:t>+</m:t>
        </m:r>
        <m:r>
          <m:t>b</m:t>
        </m:r>
        <m:r>
          <m:t>x</m:t>
        </m:r>
        <m:r>
          <m:rPr>
            <m:sty m:val="p"/>
          </m:rPr>
          <m:t>+</m:t>
        </m:r>
        <m:r>
          <m:t>c</m:t>
        </m:r>
      </m:oMath>
      <w:r>
        <w:t xml:space="preserve"> </w:t>
      </w:r>
      <w:r>
        <w:t xml:space="preserve">using the fact that</w:t>
      </w:r>
      <w:r>
        <w:t xml:space="preserve"> </w:t>
      </w:r>
      <m:oMath>
        <m:r>
          <m:t>a</m:t>
        </m:r>
        <m:r>
          <m:rPr>
            <m:sty m:val="p"/>
          </m:rPr>
          <m:t>≠</m:t>
        </m:r>
        <m:r>
          <m:t>0</m:t>
        </m:r>
      </m:oMath>
      <w:r>
        <w:t xml:space="preserve">. See (Guide: Completing the square) for why this works.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Proof of the quadratic formula</w:t>
            </w:r>
          </w:p>
          <w:p>
            <w:pPr>
              <w:pStyle w:val="BodyText"/>
            </w:pPr>
            <w:pPr>
              <w:spacing w:before="16" w:after="16"/>
            </w:pPr>
            <w:r>
              <w:t xml:space="preserve">The proof of this relies on completing the square. First of all, as</w:t>
            </w:r>
            <w:r>
              <w:t xml:space="preserve"> </w:t>
            </w:r>
            <m:oMath>
              <m:r>
                <m:t>a</m:t>
              </m:r>
              <m:r>
                <m:rPr>
                  <m:sty m:val="p"/>
                </m:rPr>
                <m:t>≠</m:t>
              </m:r>
              <m:r>
                <m:t>0</m:t>
              </m:r>
            </m:oMath>
            <w:r>
              <w:t xml:space="preserve"> </w:t>
            </w:r>
            <w:r>
              <w:t xml:space="preserve">you can divide</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through by</w:t>
            </w:r>
            <w:r>
              <w:t xml:space="preserve"> </w:t>
            </w:r>
            <m:oMath>
              <m:r>
                <m:t>a</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oMath>
            </m:oMathPara>
          </w:p>
          <w:p>
            <w:pPr>
              <w:pStyle w:val="FirstParagraph"/>
            </w:pPr>
            <w:r>
              <w:t xml:space="preserve">Taking the</w:t>
            </w:r>
            <w:r>
              <w:t xml:space="preserve"> </w:t>
            </w:r>
            <m:oMath>
              <m:r>
                <m:t>c</m:t>
              </m:r>
              <m:r>
                <m:rPr>
                  <m:sty m:val="p"/>
                </m:rPr>
                <m:t>/</m:t>
              </m:r>
              <m:r>
                <m:t>a</m:t>
              </m:r>
            </m:oMath>
            <w:r>
              <w:t xml:space="preserve"> </w:t>
            </w:r>
            <w:r>
              <w:t xml:space="preserve">term over to the other side gives</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r>
                  <m:rPr>
                    <m:sty m:val="p"/>
                  </m:rPr>
                  <m:t>−</m:t>
                </m:r>
                <m:f>
                  <m:fPr>
                    <m:type m:val="bar"/>
                  </m:fPr>
                  <m:num>
                    <m:r>
                      <m:t>c</m:t>
                    </m:r>
                  </m:num>
                  <m:den>
                    <m:r>
                      <m:t>a</m:t>
                    </m:r>
                  </m:den>
                </m:f>
              </m:oMath>
            </m:oMathPara>
          </w:p>
          <w:p>
            <w:pPr>
              <w:pStyle w:val="FirstParagraph"/>
            </w:pPr>
            <w:r>
              <w:t xml:space="preserve">Completing the square gives</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r>
                  <m:rPr>
                    <m:sty m:val="p"/>
                  </m:rPr>
                  <m:t>−</m:t>
                </m:r>
                <m:f>
                  <m:fPr>
                    <m:type m:val="bar"/>
                  </m:fPr>
                  <m:num>
                    <m:r>
                      <m:t>c</m:t>
                    </m:r>
                  </m:num>
                  <m:den>
                    <m:r>
                      <m:t>a</m:t>
                    </m:r>
                  </m:den>
                </m:f>
              </m:oMath>
            </m:oMathPara>
          </w:p>
          <w:p>
            <w:pPr>
              <w:pStyle w:val="FirstParagraph"/>
            </w:pPr>
            <w:r>
              <w:t xml:space="preserve">You can rearrange to get</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f>
                  <m:fPr>
                    <m:type m:val="bar"/>
                  </m:fPr>
                  <m:num>
                    <m:r>
                      <m:t>c</m:t>
                    </m:r>
                  </m:num>
                  <m:den>
                    <m:r>
                      <m:t>a</m:t>
                    </m:r>
                  </m:den>
                </m:f>
                <m:r>
                  <m:rPr>
                    <m:sty m:val="p"/>
                  </m:rPr>
                  <m:t>=</m:t>
                </m:r>
                <m:f>
                  <m:fPr>
                    <m:type m:val="bar"/>
                  </m:fPr>
                  <m:num>
                    <m:sSup>
                      <m:e>
                        <m:r>
                          <m:t>b</m:t>
                        </m:r>
                      </m:e>
                      <m:sup>
                        <m:r>
                          <m:t>2</m:t>
                        </m:r>
                      </m:sup>
                    </m:sSup>
                    <m:r>
                      <m:rPr>
                        <m:sty m:val="p"/>
                      </m:rPr>
                      <m:t>−</m:t>
                    </m:r>
                    <m:r>
                      <m:t>4</m:t>
                    </m:r>
                    <m:r>
                      <m:t>a</m:t>
                    </m:r>
                    <m:r>
                      <m:t>c</m:t>
                    </m:r>
                  </m:num>
                  <m:den>
                    <m:r>
                      <m:t>4</m:t>
                    </m:r>
                    <m:sSup>
                      <m:e>
                        <m:r>
                          <m:t>a</m:t>
                        </m:r>
                      </m:e>
                      <m:sup>
                        <m:r>
                          <m:t>2</m:t>
                        </m:r>
                      </m:sup>
                    </m:sSup>
                  </m:den>
                </m:f>
              </m:oMath>
            </m:oMathPara>
          </w:p>
          <w:p>
            <w:pPr>
              <w:pStyle w:val="FirstParagraph"/>
            </w:pPr>
            <w:r>
              <w:t xml:space="preserve">Now the result is starting to come together. Taking square roots of both sides (not forgetting that it could be positive or negative) gives</w:t>
            </w:r>
          </w:p>
          <w:p>
            <w:pPr>
              <w:pStyle w:val="BodyText"/>
            </w:pPr>
            <m:oMathPara>
              <m:oMathParaPr>
                <m:jc m:val="center"/>
              </m:oMathParaPr>
              <m:oMath>
                <m:r>
                  <m:t>x</m:t>
                </m:r>
                <m:r>
                  <m:rPr>
                    <m:sty m:val="p"/>
                  </m:rPr>
                  <m:t>+</m:t>
                </m:r>
                <m:f>
                  <m:fPr>
                    <m:type m:val="bar"/>
                  </m:fPr>
                  <m:num>
                    <m:r>
                      <m:t>b</m:t>
                    </m:r>
                  </m:num>
                  <m:den>
                    <m:r>
                      <m:t>2</m:t>
                    </m:r>
                    <m:r>
                      <m:t>a</m:t>
                    </m:r>
                  </m:den>
                </m:f>
                <m:r>
                  <m:rPr>
                    <m:sty m:val="p"/>
                  </m:rPr>
                  <m:t>=</m:t>
                </m:r>
                <m:r>
                  <m:rPr>
                    <m:sty m:val="p"/>
                  </m:rPr>
                  <m:t>±</m:t>
                </m:r>
                <m:f>
                  <m:fPr>
                    <m:type m:val="bar"/>
                  </m:fPr>
                  <m:num>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and rearranging gives</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as required.</w:t>
            </w:r>
          </w:p>
        </w:tc>
      </w:tr>
    </w:tbl>
    <w:bookmarkEnd w:id="41"/>
    <w:bookmarkStart w:id="42" w:name="quick-check-problems"/>
    <w:p>
      <w:pPr>
        <w:pStyle w:val="Heading2"/>
      </w:pPr>
      <w:r>
        <w:t xml:space="preserve">Quick check problems</w:t>
      </w:r>
    </w:p>
    <w:bookmarkEnd w:id="42"/>
    <w:bookmarkStart w:id="43" w:name="further-reading"/>
    <w:p>
      <w:pPr>
        <w:pStyle w:val="Heading2"/>
      </w:pPr>
      <w:r>
        <w:t xml:space="preserve">Further reading</w:t>
      </w:r>
    </w:p>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en.wikipedia.org/wiki/Golden_ratio"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Golden_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2023-05-17T13:45:33Z</dcterms:created>
  <dcterms:modified xsi:type="dcterms:W3CDTF">2023-05-17T13:45:33Z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