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(degrees)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Cs/>
          <w:i/>
        </w:rPr>
        <w:t xml:space="preserve">Before reading this guide, it is recommended that you read</w:t>
      </w:r>
      <w:r>
        <w:rPr>
          <w:iCs/>
          <w:i/>
        </w:rPr>
        <w:t xml:space="preserve"> </w:t>
      </w:r>
      <w:hyperlink r:id="rId20">
        <w:r>
          <w:rPr>
            <w:rStyle w:val="Hyperlink"/>
            <w:iCs/>
            <w:i/>
          </w:rPr>
          <w:t xml:space="preserve">Guide: Trigonometry (degrees)</w:t>
        </w:r>
      </w:hyperlink>
      <w:r>
        <w:rPr>
          <w:iCs/>
          <w:i/>
        </w:rPr>
        <w:t xml:space="preserve"> </w:t>
      </w:r>
      <w:r>
        <w:rPr>
          <w:iCs/>
          <w:i/>
        </w:rPr>
        <w:t xml:space="preserve">(or</w:t>
      </w:r>
      <w:r>
        <w:rPr>
          <w:iCs/>
          <w:i/>
        </w:rPr>
        <w:t xml:space="preserve"> </w:t>
      </w:r>
      <w:hyperlink r:id="rId21">
        <w:r>
          <w:rPr>
            <w:rStyle w:val="Hyperlink"/>
            <w:iCs/>
            <w:i/>
          </w:rPr>
          <w:t xml:space="preserve">Guide: Trigonometry (radians)</w:t>
        </w:r>
      </w:hyperlink>
      <w:r>
        <w:rPr>
          <w:iCs/>
          <w:i/>
        </w:rPr>
        <w:t xml:space="preserve"> </w:t>
      </w:r>
      <w:r>
        <w:rPr>
          <w:iCs/>
          <w:i/>
        </w:rPr>
        <w:t xml:space="preserve">first.</w:t>
      </w:r>
    </w:p>
    <w:p>
      <w:pPr>
        <w:pStyle w:val="BodyText"/>
      </w:pPr>
      <w:r>
        <w:rPr>
          <w:bCs/>
          <w:b/>
        </w:rPr>
        <w:t xml:space="preserve">Degrees are used throughout this guide. If you would like to see this guide using radians, please see</w:t>
      </w:r>
      <w:r>
        <w:rPr>
          <w:bCs/>
          <w:b/>
        </w:rPr>
        <w:t xml:space="preserve"> </w:t>
      </w:r>
      <w:hyperlink r:id="rId22">
        <w:r>
          <w:rPr>
            <w:rStyle w:val="Hyperlink"/>
            <w:bCs/>
            <w:b/>
          </w:rPr>
          <w:t xml:space="preserve">Guide: Trigonometric identities (radians)</w:t>
        </w:r>
      </w:hyperlink>
      <w:r>
        <w:rPr>
          <w:bCs/>
          <w:b/>
        </w:rPr>
        <w:t xml:space="preserve">.</w:t>
      </w:r>
    </w:p>
    <w:bookmarkStart w:id="26" w:name="what-is-a-trigonometric-identity"/>
    <w:p>
      <w:pPr>
        <w:pStyle w:val="Heading1"/>
      </w:pPr>
      <w:r>
        <w:t xml:space="preserve">What is a trigonometric identity?</w:t>
      </w:r>
    </w:p>
    <w:p>
      <w:pPr>
        <w:pStyle w:val="FirstParagraph"/>
      </w:pPr>
      <w:r>
        <w:rPr>
          <w:bCs/>
          <w:b/>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(degrees)</w:t>
        </w:r>
      </w:hyperlink>
      <w:r>
        <w:t xml:space="preserve"> </w:t>
      </w:r>
      <w:r>
        <w:t xml:space="preserve">(or</w:t>
      </w:r>
      <w:r>
        <w:t xml:space="preserve"> </w:t>
      </w:r>
      <w:hyperlink r:id="rId21">
        <w:r>
          <w:rPr>
            <w:rStyle w:val="Hyperlink"/>
          </w:rPr>
          <w:t xml:space="preserve">Guide: Trigonometry (radians)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Cs/>
                <w:b/>
              </w:rPr>
              <w:t xml:space="preserve">trigonometric identity</w:t>
            </w:r>
            <w:r>
              <w:t xml:space="preserve"> </w:t>
            </w:r>
            <w:r>
              <w:t xml:space="preserve">is a mathematical equation that is</w:t>
            </w:r>
            <w:r>
              <w:t xml:space="preserve"> </w:t>
            </w:r>
            <w:r>
              <w:rPr>
                <w:bCs/>
                <w:b/>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6"/>
    <w:bookmarkStart w:id="36"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29"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29"/>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0"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0"/>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1"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1"/>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Cs/>
                <w:b/>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Cs/>
                <w:b/>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6"/>
    <w:bookmarkStart w:id="42"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Cs/>
          <w:b/>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7"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7"/>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8"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8"/>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39"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39"/>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15</m:t>
                  </m:r>
                </m:e>
              </m:d>
            </m:oMath>
            <w:r>
              <w:t xml:space="preserve">.</w:t>
            </w:r>
          </w:p>
          <w:p>
            <w:pPr>
              <w:pStyle w:val="BodyText"/>
            </w:pPr>
            <w:r>
              <w:rPr>
                <w:bCs/>
                <w:b/>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(degrees)</w:t>
              </w:r>
            </w:hyperlink>
            <w:r>
              <w:t xml:space="preserve">. First of all, you can see that</w:t>
            </w:r>
          </w:p>
          <w:p>
            <w:pPr>
              <w:pStyle w:val="BodyText"/>
            </w:pPr>
            <m:oMathPara>
              <m:oMathParaPr>
                <m:jc m:val="center"/>
              </m:oMathParaPr>
              <m:oMath>
                <m:r>
                  <m:rPr>
                    <m:sty m:val="p"/>
                  </m:rPr>
                  <m:t>tan</m:t>
                </m:r>
                <m:d>
                  <m:dPr>
                    <m:begChr m:val="("/>
                    <m:endChr m:val=")"/>
                    <m:sepChr m:val=""/>
                    <m:grow/>
                  </m:dPr>
                  <m:e>
                    <m:r>
                      <m:t>15</m:t>
                    </m:r>
                  </m:e>
                </m:d>
                <m:r>
                  <m:rPr>
                    <m:sty m:val="p"/>
                  </m:rPr>
                  <m:t>=</m:t>
                </m:r>
                <m:r>
                  <m:rPr>
                    <m:sty m:val="p"/>
                  </m:rPr>
                  <m:t>tan</m:t>
                </m:r>
                <m:d>
                  <m:dPr>
                    <m:begChr m:val="("/>
                    <m:endChr m:val=")"/>
                    <m:sepChr m:val=""/>
                    <m:grow/>
                  </m:dPr>
                  <m:e>
                    <m:r>
                      <m:t>45</m:t>
                    </m:r>
                    <m:r>
                      <m:rPr>
                        <m:sty m:val="p"/>
                      </m:rPr>
                      <m:t>−</m:t>
                    </m:r>
                    <m:r>
                      <m:t>30</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45</m:t>
                    </m:r>
                    <m:r>
                      <m:rPr>
                        <m:sty m:val="p"/>
                      </m:rPr>
                      <m:t>−</m:t>
                    </m:r>
                    <m:r>
                      <m:t>30</m:t>
                    </m:r>
                  </m:e>
                </m:d>
                <m:r>
                  <m:rPr>
                    <m:sty m:val="p"/>
                  </m:rPr>
                  <m:t>=</m:t>
                </m:r>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oMath>
            </m:oMathPara>
          </w:p>
          <w:p>
            <w:pPr>
              <w:pStyle w:val="FirstParagraph"/>
            </w:pPr>
            <w:r>
              <w:t xml:space="preserve">Using the fact that</w:t>
            </w:r>
            <w:r>
              <w:t xml:space="preserve"> </w:t>
            </w:r>
            <m:oMath>
              <m:r>
                <m:rPr>
                  <m:sty m:val="p"/>
                </m:rPr>
                <m:t>tan</m:t>
              </m:r>
              <m:d>
                <m:dPr>
                  <m:begChr m:val="("/>
                  <m:endChr m:val=")"/>
                  <m:sepChr m:val=""/>
                  <m:grow/>
                </m:dPr>
                <m:e>
                  <m:r>
                    <m:t>45</m:t>
                  </m:r>
                </m:e>
              </m:d>
              <m:r>
                <m:rPr>
                  <m:sty m:val="p"/>
                </m:rPr>
                <m:t>=</m:t>
              </m:r>
              <m:r>
                <m:t>1</m:t>
              </m:r>
            </m:oMath>
            <w:r>
              <w:t xml:space="preserve"> </w:t>
            </w:r>
            <w:r>
              <w:t xml:space="preserve">and</w:t>
            </w:r>
            <w:r>
              <w:t xml:space="preserve"> </w:t>
            </w:r>
            <m:oMath>
              <m:r>
                <m:rPr>
                  <m:sty m:val="p"/>
                </m:rPr>
                <m:t>tan</m:t>
              </m:r>
              <m:d>
                <m:dPr>
                  <m:begChr m:val="("/>
                  <m:endChr m:val=")"/>
                  <m:sepChr m:val=""/>
                  <m:grow/>
                </m:dPr>
                <m:e>
                  <m:r>
                    <m:t>30</m:t>
                  </m:r>
                </m:e>
              </m:d>
              <m:r>
                <m:rPr>
                  <m:sty m:val="p"/>
                </m:rPr>
                <m:t>=</m:t>
              </m:r>
              <m:r>
                <m:t>1</m:t>
              </m:r>
              <m:r>
                <m:rPr>
                  <m:sty m:val="p"/>
                </m:rPr>
                <m:t>/</m:t>
              </m:r>
              <m:rad>
                <m:radPr>
                  <m:degHide m:val="1"/>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r>
                  <m:rPr>
                    <m:sty m:val="p"/>
                  </m:rPr>
                  <m:t>=</m:t>
                </m:r>
                <m:f>
                  <m:fPr>
                    <m:type m:val="bar"/>
                  </m:fPr>
                  <m:num>
                    <m:r>
                      <m:t>1</m:t>
                    </m:r>
                    <m:r>
                      <m:rPr>
                        <m:sty m:val="p"/>
                      </m:rPr>
                      <m:t>−</m:t>
                    </m:r>
                    <m:f>
                      <m:fPr>
                        <m:type m:val="bar"/>
                      </m:fPr>
                      <m:num>
                        <m:r>
                          <m:t>1</m:t>
                        </m:r>
                      </m:num>
                      <m:den>
                        <m:rad>
                          <m:radPr>
                            <m:degHide m:val="1"/>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1"/>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1"/>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1"/>
                              </m:radPr>
                              <m:deg/>
                              <m:e>
                                <m:r>
                                  <m:t>3</m:t>
                                </m:r>
                              </m:e>
                            </m:rad>
                          </m:den>
                        </m:f>
                      </m:e>
                    </m:d>
                  </m:den>
                </m:f>
                <m:r>
                  <m:rPr>
                    <m:sty m:val="p"/>
                  </m:rPr>
                  <m:t>=</m:t>
                </m:r>
                <m:f>
                  <m:fPr>
                    <m:type m:val="bar"/>
                  </m:fPr>
                  <m:num>
                    <m:f>
                      <m:fPr>
                        <m:type m:val="bar"/>
                      </m:fPr>
                      <m:num>
                        <m:rad>
                          <m:radPr>
                            <m:degHide m:val="1"/>
                          </m:radPr>
                          <m:deg/>
                          <m:e>
                            <m:r>
                              <m:t>3</m:t>
                            </m:r>
                          </m:e>
                        </m:rad>
                        <m:r>
                          <m:rPr>
                            <m:sty m:val="p"/>
                          </m:rPr>
                          <m:t>−</m:t>
                        </m:r>
                        <m:r>
                          <m:t>1</m:t>
                        </m:r>
                      </m:num>
                      <m:den>
                        <m:rad>
                          <m:radPr>
                            <m:degHide m:val="1"/>
                          </m:radPr>
                          <m:deg/>
                          <m:e>
                            <m:r>
                              <m:t>3</m:t>
                            </m:r>
                          </m:e>
                        </m:rad>
                      </m:den>
                    </m:f>
                  </m:num>
                  <m:den>
                    <m:f>
                      <m:fPr>
                        <m:type m:val="bar"/>
                      </m:fPr>
                      <m:num>
                        <m:rad>
                          <m:radPr>
                            <m:degHide m:val="1"/>
                          </m:radPr>
                          <m:deg/>
                          <m:e>
                            <m:r>
                              <m:t>3</m:t>
                            </m:r>
                          </m:e>
                        </m:rad>
                        <m:r>
                          <m:rPr>
                            <m:sty m:val="p"/>
                          </m:rPr>
                          <m:t>+</m:t>
                        </m:r>
                        <m:r>
                          <m:t>1</m:t>
                        </m:r>
                      </m:num>
                      <m:den>
                        <m:rad>
                          <m:radPr>
                            <m:degHide m:val="1"/>
                          </m:radPr>
                          <m:deg/>
                          <m:e>
                            <m:r>
                              <m:t>3</m:t>
                            </m:r>
                          </m:e>
                        </m:rad>
                      </m:den>
                    </m:f>
                  </m:den>
                </m:f>
                <m:r>
                  <m:rPr>
                    <m:sty m:val="p"/>
                  </m:rPr>
                  <m:t>=</m:t>
                </m:r>
                <m:f>
                  <m:fPr>
                    <m:type m:val="bar"/>
                  </m:fPr>
                  <m:num>
                    <m:rad>
                      <m:radPr>
                        <m:degHide m:val="1"/>
                      </m:radPr>
                      <m:deg/>
                      <m:e>
                        <m:r>
                          <m:t>3</m:t>
                        </m:r>
                      </m:e>
                    </m:rad>
                    <m:r>
                      <m:rPr>
                        <m:sty m:val="p"/>
                      </m:rPr>
                      <m:t>−</m:t>
                    </m:r>
                    <m:r>
                      <m:t>1</m:t>
                    </m:r>
                  </m:num>
                  <m:den>
                    <m:rad>
                      <m:radPr>
                        <m:degHide m:val="1"/>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15</m:t>
                  </m:r>
                </m:e>
              </m:d>
              <m:r>
                <m:rPr>
                  <m:sty m:val="p"/>
                </m:rPr>
                <m:t>=</m:t>
              </m:r>
              <m:f>
                <m:fPr>
                  <m:type m:val="bar"/>
                </m:fPr>
                <m:num>
                  <m:rad>
                    <m:radPr>
                      <m:degHide m:val="1"/>
                    </m:radPr>
                    <m:deg/>
                    <m:e>
                      <m:r>
                        <m:t>3</m:t>
                      </m:r>
                    </m:e>
                  </m:rad>
                  <m:r>
                    <m:rPr>
                      <m:sty m:val="p"/>
                    </m:rPr>
                    <m:t>−</m:t>
                  </m:r>
                  <m:r>
                    <m:t>1</m:t>
                  </m:r>
                </m:num>
                <m:den>
                  <m:rad>
                    <m:radPr>
                      <m:degHide m:val="1"/>
                    </m:radPr>
                    <m:deg/>
                    <m:e>
                      <m:r>
                        <m:t>3</m:t>
                      </m:r>
                    </m:e>
                  </m:rad>
                  <m:r>
                    <m:rPr>
                      <m:sty m:val="p"/>
                    </m:rPr>
                    <m:t>+</m:t>
                  </m:r>
                  <m:r>
                    <m:t>1</m:t>
                  </m:r>
                </m:den>
              </m:f>
            </m:oMath>
            <w:r>
              <w:t xml:space="preserve">. You can leave your answer like this if you wish; but if you prefer to rationalize your denominator (see Guide: Rationalizing the denominator for more) then you can say that</w:t>
            </w:r>
            <w:r>
              <w:t xml:space="preserve"> </w:t>
            </w:r>
            <m:oMath>
              <m:r>
                <m:rPr>
                  <m:sty m:val="p"/>
                </m:rPr>
                <m:t>tan</m:t>
              </m:r>
              <m:d>
                <m:dPr>
                  <m:begChr m:val="("/>
                  <m:endChr m:val=")"/>
                  <m:sepChr m:val=""/>
                  <m:grow/>
                </m:dPr>
                <m:e>
                  <m:r>
                    <m:t>15</m:t>
                  </m:r>
                </m:e>
              </m:d>
              <m:r>
                <m:rPr>
                  <m:sty m:val="p"/>
                </m:rPr>
                <m:t>=</m:t>
              </m:r>
              <m:r>
                <m:t>2</m:t>
              </m:r>
              <m:r>
                <m:rPr>
                  <m:sty m:val="p"/>
                </m:rPr>
                <m:t>−</m:t>
              </m:r>
              <m:rad>
                <m:radPr>
                  <m:degHide m:val="1"/>
                </m:radPr>
                <m:deg/>
                <m:e>
                  <m:r>
                    <m:t>3</m:t>
                  </m:r>
                </m:e>
              </m:rad>
            </m:oMath>
            <w:r>
              <w:t xml:space="preserve">.</w:t>
            </w:r>
          </w:p>
        </w:tc>
      </w:tr>
    </w:tbl>
    <w:bookmarkEnd w:id="42"/>
    <w:bookmarkStart w:id="48"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Cs/>
          <w:b/>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3"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3"/>
    </w:p>
    <w:p>
      <w:pPr>
        <w:pStyle w:val="FirstParagraph"/>
      </w:pPr>
      <w:bookmarkStart w:id="44"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4"/>
    </w:p>
    <w:p>
      <w:pPr>
        <w:pStyle w:val="FirstParagraph"/>
      </w:pPr>
      <w:bookmarkStart w:id="45"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5"/>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Cs/>
                <w:b/>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8"/>
    <w:bookmarkStart w:id="65"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Cs/>
          <w:b/>
        </w:rPr>
        <w:t xml:space="preserve">phase shift identities</w:t>
      </w:r>
      <w:r>
        <w:t xml:space="preserve">,</w:t>
      </w:r>
      <w:r>
        <w:t xml:space="preserve"> </w:t>
      </w:r>
      <w:r>
        <w:rPr>
          <w:bCs/>
          <w:b/>
        </w:rPr>
        <w:t xml:space="preserve">parity identities</w:t>
      </w:r>
      <w:r>
        <w:t xml:space="preserve">,</w:t>
      </w:r>
      <w:r>
        <w:t xml:space="preserve"> </w:t>
      </w:r>
      <w:r>
        <w:rPr>
          <w:bCs/>
          <w:b/>
        </w:rPr>
        <w:t xml:space="preserve">half-angle identities</w:t>
      </w:r>
      <w:r>
        <w:t xml:space="preserve">, and</w:t>
      </w:r>
      <w:r>
        <w:t xml:space="preserve"> </w:t>
      </w:r>
      <w:r>
        <w:rPr>
          <w:bCs/>
          <w:b/>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8" w:name="phase-shift-identities"/>
    <w:p>
      <w:pPr>
        <w:pStyle w:val="Heading2"/>
      </w:pPr>
      <w:r>
        <w:t xml:space="preserve">Phase shift identities</w:t>
      </w:r>
    </w:p>
    <w:p>
      <w:pPr>
        <w:pStyle w:val="FirstParagraph"/>
      </w:pPr>
      <w:r>
        <w:t xml:space="preserve">As seen in</w:t>
      </w:r>
      <w:r>
        <w:t xml:space="preserve"> </w:t>
      </w:r>
      <w:hyperlink r:id="rId20">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sSup>
          <m:e>
            <m:r>
              <m:t>90</m:t>
            </m:r>
          </m:e>
          <m:sup>
            <m:r>
              <m:rPr>
                <m:sty m:val="p"/>
              </m:rPr>
              <m:t>∘</m:t>
            </m:r>
          </m:sup>
        </m:sSup>
      </m:oMath>
      <w:r>
        <w:t xml:space="preserve">.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90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90</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90</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90</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90</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sSup>
          <m:e>
            <m:r>
              <m:t>180</m:t>
            </m:r>
          </m:e>
          <m:sup>
            <m:r>
              <m:rPr>
                <m:sty m:val="p"/>
              </m:rPr>
              <m:t>∘</m:t>
            </m:r>
          </m:sup>
        </m:sSup>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180</m:t>
                  </m:r>
                </m:e>
                <m:sup>
                  <m:r>
                    <m:rPr>
                      <m:sty m:val="p"/>
                    </m:rPr>
                    <m:t>∘</m:t>
                  </m:r>
                </m:sup>
              </m:sSup>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180</m:t>
                    </m:r>
                  </m:e>
                </m:d>
                <m:r>
                  <m:rPr>
                    <m:sty m:val="p"/>
                  </m:rPr>
                  <m:t>=</m:t>
                </m:r>
                <m:r>
                  <m:rPr>
                    <m:sty m:val="p"/>
                  </m:rPr>
                  <m:t>sin</m:t>
                </m:r>
                <m:d>
                  <m:dPr>
                    <m:begChr m:val="("/>
                    <m:endChr m:val=")"/>
                    <m:sepChr m:val=""/>
                    <m:grow/>
                  </m:dPr>
                  <m:e>
                    <m:r>
                      <m:t>θ</m:t>
                    </m:r>
                    <m:r>
                      <m:rPr>
                        <m:sty m:val="p"/>
                      </m:rPr>
                      <m:t>−</m:t>
                    </m:r>
                    <m:r>
                      <m:t>180</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180</m:t>
                    </m:r>
                  </m:e>
                </m:d>
                <m:r>
                  <m:rPr>
                    <m:sty m:val="p"/>
                  </m:rPr>
                  <m:t>=</m:t>
                </m:r>
                <m:r>
                  <m:rPr>
                    <m:sty m:val="p"/>
                  </m:rPr>
                  <m:t>cos</m:t>
                </m:r>
                <m:d>
                  <m:dPr>
                    <m:begChr m:val="("/>
                    <m:endChr m:val=")"/>
                    <m:sepChr m:val=""/>
                    <m:grow/>
                  </m:dPr>
                  <m:e>
                    <m:r>
                      <m:t>θ</m:t>
                    </m:r>
                    <m:r>
                      <m:rPr>
                        <m:sty m:val="p"/>
                      </m:rPr>
                      <m:t>−</m:t>
                    </m:r>
                    <m:r>
                      <m:t>180</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sSup>
          <m:e>
            <m:r>
              <m:t>360</m:t>
            </m:r>
          </m:e>
          <m:sup>
            <m:r>
              <m:rPr>
                <m:sty m:val="p"/>
              </m:rPr>
              <m:t>∘</m:t>
            </m:r>
          </m:sup>
        </m:sSup>
      </m:oMath>
      <w:r>
        <w:t xml:space="preserve"> </w:t>
      </w:r>
      <w:r>
        <w:t xml:space="preserve">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360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360</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360</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Cs/>
          <w:b/>
        </w:rPr>
        <w:t xml:space="preserve">periodic</w:t>
      </w:r>
      <w:r>
        <w:t xml:space="preserve"> </w:t>
      </w:r>
      <w:r>
        <w:t xml:space="preserve">with period</w:t>
      </w:r>
      <w:r>
        <w:t xml:space="preserve"> </w:t>
      </w:r>
      <m:oMath>
        <m:sSup>
          <m:e>
            <m:r>
              <m:t>360</m:t>
            </m:r>
          </m:e>
          <m:sup>
            <m:r>
              <m:rPr>
                <m:sty m:val="p"/>
              </m:rPr>
              <m:t>∘</m:t>
            </m:r>
          </m:sup>
        </m:sSup>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cos</m:t>
          </m:r>
          <m:d>
            <m:dPr>
              <m:begChr m:val="("/>
              <m:endChr m:val=")"/>
              <m:sepChr m:val=""/>
              <m:grow/>
            </m:dPr>
            <m:e>
              <m:r>
                <m:t>θ</m:t>
              </m:r>
            </m:e>
          </m:d>
        </m:oMath>
      </m:oMathPara>
    </w:p>
    <w:p>
      <w:pPr>
        <w:pStyle w:val="FirstParagraph"/>
      </w:pPr>
      <w:r>
        <w:t xml:space="preserve">For more on this, see guide on</w:t>
      </w:r>
      <w:r>
        <w:t xml:space="preserve"> </w:t>
      </w:r>
      <w:hyperlink r:id="rId55">
        <w:r>
          <w:rPr>
            <w:rStyle w:val="Hyperlink"/>
          </w:rPr>
          <w:t xml:space="preserve">Guide: Multiple revolutions and negative angles</w:t>
        </w:r>
      </w:hyperlink>
      <w:r>
        <w:t xml:space="preserve">.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60</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60</m:t>
                  </m:r>
                </m:e>
              </m:d>
              <m:r>
                <m:rPr>
                  <m:sty m:val="p"/>
                </m:rPr>
                <m:t>=</m:t>
              </m:r>
              <m:r>
                <m:t>s</m:t>
              </m:r>
              <m:r>
                <m:t>q</m:t>
              </m:r>
              <m:r>
                <m:t>r</m:t>
              </m:r>
              <m:r>
                <m:t>t</m:t>
              </m:r>
              <m:r>
                <m:t>3</m:t>
              </m:r>
              <m:r>
                <m:rPr>
                  <m:sty m:val="p"/>
                </m:rPr>
                <m:t>/</m:t>
              </m:r>
              <m:r>
                <m:t>2</m:t>
              </m:r>
            </m:oMath>
            <w:r>
              <w:t xml:space="preserve">, you can work out the values of</w:t>
            </w:r>
            <w:r>
              <w:t xml:space="preserve"> </w:t>
            </w:r>
            <m:oMath>
              <m:r>
                <m:rPr>
                  <m:sty m:val="p"/>
                </m:rPr>
                <m:t>cos</m:t>
              </m:r>
              <m:d>
                <m:dPr>
                  <m:begChr m:val="("/>
                  <m:endChr m:val=")"/>
                  <m:sepChr m:val=""/>
                  <m:grow/>
                </m:dPr>
                <m:e>
                  <m:r>
                    <m:t>1500</m:t>
                  </m:r>
                </m:e>
              </m:d>
            </m:oMath>
            <w:r>
              <w:t xml:space="preserve"> </w:t>
            </w:r>
            <w:r>
              <w:t xml:space="preserve">and</w:t>
            </w:r>
            <w:r>
              <w:t xml:space="preserve"> </w:t>
            </w:r>
            <m:oMath>
              <m:r>
                <m:rPr>
                  <m:sty m:val="p"/>
                </m:rPr>
                <m:t>sin</m:t>
              </m:r>
              <m:d>
                <m:dPr>
                  <m:begChr m:val="("/>
                  <m:endChr m:val=")"/>
                  <m:sepChr m:val=""/>
                  <m:grow/>
                </m:dPr>
                <m:e>
                  <m:r>
                    <m:rPr>
                      <m:sty m:val="p"/>
                    </m:rPr>
                    <m:t>−</m:t>
                  </m:r>
                  <m:r>
                    <m:t>2820</m:t>
                  </m:r>
                </m:e>
              </m:d>
            </m:oMath>
            <w:r>
              <w:t xml:space="preserve">. Here, you can write</w:t>
            </w:r>
          </w:p>
          <w:p>
            <w:pPr>
              <w:pStyle w:val="BodyText"/>
            </w:pPr>
            <m:oMathPara>
              <m:oMathParaPr>
                <m:jc m:val="center"/>
              </m:oMathParaPr>
              <m:oMath>
                <m:r>
                  <m:t>1500</m:t>
                </m:r>
                <m:r>
                  <m:rPr>
                    <m:sty m:val="p"/>
                  </m:rPr>
                  <m:t>=</m:t>
                </m:r>
                <m:r>
                  <m:t>1440</m:t>
                </m:r>
                <m:r>
                  <m:rPr>
                    <m:sty m:val="p"/>
                  </m:rPr>
                  <m:t>+</m:t>
                </m:r>
                <m:r>
                  <m:t>60</m:t>
                </m:r>
                <m:r>
                  <m:rPr>
                    <m:sty m:val="p"/>
                  </m:rPr>
                  <m:t>=</m:t>
                </m:r>
                <m:r>
                  <m:t>4</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r>
                      <m:t>1500</m:t>
                    </m:r>
                  </m:e>
                </m:d>
                <m:r>
                  <m:rPr>
                    <m:sty m:val="p"/>
                  </m:rPr>
                  <m:t>=</m:t>
                </m:r>
                <m:r>
                  <m:rPr>
                    <m:sty m:val="p"/>
                  </m:rPr>
                  <m:t>cos</m:t>
                </m:r>
                <m:d>
                  <m:dPr>
                    <m:begChr m:val="("/>
                    <m:endChr m:val=")"/>
                    <m:sepChr m:val=""/>
                    <m:grow/>
                  </m:dPr>
                  <m:e>
                    <m:r>
                      <m:t>4</m:t>
                    </m:r>
                    <m:r>
                      <m:rPr>
                        <m:sty m:val="p"/>
                      </m:rPr>
                      <m:t>⋅</m:t>
                    </m:r>
                    <m:r>
                      <m:t>360</m:t>
                    </m:r>
                    <m:r>
                      <m:rPr>
                        <m:sty m:val="p"/>
                      </m:rPr>
                      <m:t>+</m:t>
                    </m:r>
                    <m:r>
                      <m:t>60</m:t>
                    </m:r>
                  </m:e>
                </m:d>
                <m:r>
                  <m:rPr>
                    <m:sty m:val="p"/>
                  </m:rPr>
                  <m:t>=</m:t>
                </m:r>
                <m:r>
                  <m:rPr>
                    <m:sty m:val="p"/>
                  </m:rPr>
                  <m:t>cos</m:t>
                </m:r>
                <m:d>
                  <m:dPr>
                    <m:begChr m:val="("/>
                    <m:endChr m:val=")"/>
                    <m:sepChr m:val=""/>
                    <m:grow/>
                  </m:dPr>
                  <m:e>
                    <m:r>
                      <m:t>60</m:t>
                    </m:r>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r>
                  <m:t>2820</m:t>
                </m:r>
                <m:r>
                  <m:rPr>
                    <m:sty m:val="p"/>
                  </m:rPr>
                  <m:t>=</m:t>
                </m:r>
                <m:r>
                  <m:rPr>
                    <m:sty m:val="p"/>
                  </m:rPr>
                  <m:t>−</m:t>
                </m:r>
                <m:r>
                  <m:t>2880</m:t>
                </m:r>
                <m:r>
                  <m:rPr>
                    <m:sty m:val="p"/>
                  </m:rPr>
                  <m:t>+</m:t>
                </m:r>
                <m:r>
                  <m:t>60</m:t>
                </m:r>
                <m:r>
                  <m:rPr>
                    <m:sty m:val="p"/>
                  </m:rPr>
                  <m:t>=</m:t>
                </m:r>
                <m:r>
                  <m:rPr>
                    <m:sty m:val="p"/>
                  </m:rPr>
                  <m:t>−</m:t>
                </m:r>
                <m:r>
                  <m:t>8</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r>
                      <m:t>2820</m:t>
                    </m:r>
                  </m:e>
                </m:d>
                <m:r>
                  <m:rPr>
                    <m:sty m:val="p"/>
                  </m:rPr>
                  <m:t>=</m:t>
                </m:r>
                <m:r>
                  <m:rPr>
                    <m:sty m:val="p"/>
                  </m:rPr>
                  <m:t>sin</m:t>
                </m:r>
                <m:d>
                  <m:dPr>
                    <m:begChr m:val="("/>
                    <m:endChr m:val=")"/>
                    <m:sepChr m:val=""/>
                    <m:grow/>
                  </m:dPr>
                  <m:e>
                    <m:r>
                      <m:rPr>
                        <m:sty m:val="p"/>
                      </m:rPr>
                      <m:t>−</m:t>
                    </m:r>
                    <m:r>
                      <m:t>8</m:t>
                    </m:r>
                    <m:r>
                      <m:rPr>
                        <m:sty m:val="p"/>
                      </m:rPr>
                      <m:t>⋅</m:t>
                    </m:r>
                    <m:r>
                      <m:t>360</m:t>
                    </m:r>
                    <m:r>
                      <m:rPr>
                        <m:sty m:val="p"/>
                      </m:rPr>
                      <m:t>+</m:t>
                    </m:r>
                    <m:r>
                      <m:t>60</m:t>
                    </m:r>
                  </m:e>
                </m:d>
                <m:r>
                  <m:rPr>
                    <m:sty m:val="p"/>
                  </m:rPr>
                  <m:t>=</m:t>
                </m:r>
                <m:r>
                  <m:rPr>
                    <m:sty m:val="p"/>
                  </m:rPr>
                  <m:t>sin</m:t>
                </m:r>
                <m:d>
                  <m:dPr>
                    <m:begChr m:val="("/>
                    <m:endChr m:val=")"/>
                    <m:sepChr m:val=""/>
                    <m:grow/>
                  </m:dPr>
                  <m:e>
                    <m:r>
                      <m:t>60</m:t>
                    </m:r>
                  </m:e>
                </m:d>
                <m:r>
                  <m:rPr>
                    <m:sty m:val="p"/>
                  </m:rPr>
                  <m:t>=</m:t>
                </m:r>
                <m:f>
                  <m:fPr>
                    <m:type m:val="bar"/>
                  </m:fPr>
                  <m:num>
                    <m:rad>
                      <m:radPr>
                        <m:degHide m:val="1"/>
                      </m:radPr>
                      <m:deg/>
                      <m:e>
                        <m:r>
                          <m:t>3</m:t>
                        </m:r>
                      </m:e>
                    </m:rad>
                  </m:num>
                  <m:den>
                    <m:r>
                      <m:t>2</m:t>
                    </m:r>
                  </m:den>
                </m:f>
                <m:r>
                  <m:rPr>
                    <m:sty m:val="p"/>
                  </m:rPr>
                  <m:t>.</m:t>
                </m:r>
              </m:oMath>
            </m:oMathPara>
          </w:p>
        </w:tc>
      </w:tr>
    </w:tbl>
    <w:bookmarkEnd w:id="58"/>
    <w:bookmarkStart w:id="59"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Cs/>
          <w:b/>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(degrees)</w:t>
        </w:r>
      </w:hyperlink>
      <w:r>
        <w:t xml:space="preserve">, you can use the parity identities to find values of trigonometric functions for common negative angles (see</w:t>
      </w:r>
      <w:r>
        <w:t xml:space="preserve"> </w:t>
      </w:r>
      <w:hyperlink r:id="rId55">
        <w:r>
          <w:rPr>
            <w:rStyle w:val="Hyperlink"/>
          </w:rPr>
          <w:t xml:space="preserve">Guide: Multiple revolutions and negative values</w:t>
        </w:r>
      </w:hyperlink>
      <w:r>
        <w:t xml:space="preserve"> </w:t>
      </w:r>
      <w:r>
        <w:t xml:space="preserve">for more):</w:t>
      </w:r>
    </w:p>
    <w:p>
      <w:pPr>
        <w:pStyle w:val="TableCaption"/>
      </w:pPr>
      <w:r>
        <w:t xml:space="preserve">Trigonometric values for negative angles.</w:t>
      </w:r>
    </w:p>
    <w:tbl>
      <w:tblPr>
        <w:tblStyle w:val="Table"/>
        <w:tblW w:type="pct" w:w="5200"/>
        <w:tblLook w:firstRow="1" w:lastRow="0" w:firstColumn="0" w:lastColumn="0" w:noHBand="0" w:noVBand="0" w:val="0020"/>
        <w:jc w:val="start"/>
        <w:tblCaption w:val="Trigonometric values for negative angles."/>
      </w:tblPr>
      <w:tblGrid>
        <w:gridCol w:w="1029"/>
        <w:gridCol w:w="1029"/>
        <w:gridCol w:w="1029"/>
        <w:gridCol w:w="1029"/>
        <w:gridCol w:w="1029"/>
        <w:gridCol w:w="1029"/>
        <w:gridCol w:w="1029"/>
        <w:gridCol w:w="1029"/>
      </w:tblGrid>
      <w:tr>
        <w:trPr>
          <w:tblHeader w:val="true"/>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r>
                <m:rPr>
                  <m:sty m:val="p"/>
                </m:rPr>
                <m:t>−</m:t>
              </m:r>
              <m:sSup>
                <m:e>
                  <m:r>
                    <m:t>30</m:t>
                  </m:r>
                </m:e>
                <m:sup>
                  <m:r>
                    <m:rPr>
                      <m:sty m:val="p"/>
                    </m:rPr>
                    <m:t>∘</m:t>
                  </m:r>
                </m:sup>
              </m:sSup>
            </m:oMath>
          </w:p>
        </w:tc>
        <w:tc>
          <w:tcPr/>
          <w:p>
            <w:pPr>
              <w:pStyle w:val="Compact"/>
              <w:jc w:val="left"/>
            </w:pPr>
            <m:oMath>
              <m:r>
                <m:rPr>
                  <m:sty m:val="p"/>
                </m:rPr>
                <m:t>−</m:t>
              </m:r>
              <m:sSup>
                <m:e>
                  <m:r>
                    <m:t>45</m:t>
                  </m:r>
                </m:e>
                <m:sup>
                  <m:r>
                    <m:rPr>
                      <m:sty m:val="p"/>
                    </m:rPr>
                    <m:t>∘</m:t>
                  </m:r>
                </m:sup>
              </m:sSup>
            </m:oMath>
          </w:p>
        </w:tc>
        <w:tc>
          <w:tcPr/>
          <w:p>
            <w:pPr>
              <w:pStyle w:val="Compact"/>
              <w:jc w:val="left"/>
            </w:pPr>
            <m:oMath>
              <m:r>
                <m:rPr>
                  <m:sty m:val="p"/>
                </m:rPr>
                <m:t>−</m:t>
              </m:r>
              <m:sSup>
                <m:e>
                  <m:r>
                    <m:t>60</m:t>
                  </m:r>
                </m:e>
                <m:sup>
                  <m:r>
                    <m:rPr>
                      <m:sty m:val="p"/>
                    </m:rPr>
                    <m:t>∘</m:t>
                  </m:r>
                </m:sup>
              </m:sSup>
            </m:oMath>
          </w:p>
        </w:tc>
        <w:tc>
          <w:tcPr/>
          <w:p>
            <w:pPr>
              <w:pStyle w:val="Compact"/>
              <w:jc w:val="left"/>
            </w:pPr>
            <m:oMath>
              <m:r>
                <m:rPr>
                  <m:sty m:val="p"/>
                </m:rPr>
                <m:t>−</m:t>
              </m:r>
              <m:sSup>
                <m:e>
                  <m:r>
                    <m:t>90</m:t>
                  </m:r>
                </m:e>
                <m:sup>
                  <m:r>
                    <m:rPr>
                      <m:sty m:val="p"/>
                    </m:rPr>
                    <m:t>∘</m:t>
                  </m:r>
                </m:sup>
              </m:sSup>
            </m:oMath>
          </w:p>
        </w:tc>
        <w:tc>
          <w:tcPr/>
          <w:p>
            <w:pPr>
              <w:pStyle w:val="Compact"/>
              <w:jc w:val="left"/>
            </w:pPr>
            <m:oMath>
              <m:r>
                <m:rPr>
                  <m:sty m:val="p"/>
                </m:rPr>
                <m:t>−</m:t>
              </m:r>
              <m:sSup>
                <m:e>
                  <m:r>
                    <m:t>180</m:t>
                  </m:r>
                </m:e>
                <m:sup>
                  <m:r>
                    <m:rPr>
                      <m:sty m:val="p"/>
                    </m:rPr>
                    <m:t>∘</m:t>
                  </m:r>
                </m:sup>
              </m:sSup>
            </m:oMath>
          </w:p>
        </w:tc>
        <w:tc>
          <w:tcPr/>
          <w:p>
            <w:pPr>
              <w:pStyle w:val="Compact"/>
              <w:jc w:val="left"/>
            </w:pPr>
            <m:oMath>
              <m:r>
                <m:rPr>
                  <m:sty m:val="p"/>
                </m:rPr>
                <m:t>−</m:t>
              </m:r>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1"/>
                    </m:radPr>
                    <m:deg/>
                    <m:e>
                      <m:r>
                        <m:t>2</m:t>
                      </m:r>
                    </m:e>
                  </m:rad>
                </m:den>
              </m:f>
            </m:oMath>
          </w:p>
        </w:tc>
        <w:tc>
          <w:tcPr/>
          <w:p>
            <w:pPr>
              <w:pStyle w:val="Compact"/>
              <w:jc w:val="left"/>
            </w:pPr>
            <m:oMath>
              <m:r>
                <m:rPr>
                  <m:sty m:val="p"/>
                </m:rPr>
                <m:t>−</m:t>
              </m:r>
              <m:f>
                <m:fPr>
                  <m:type m:val="bar"/>
                </m:fPr>
                <m:num>
                  <m:rad>
                    <m:radPr>
                      <m:degHide m:val="1"/>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1"/>
                    </m:radPr>
                    <m:deg/>
                    <m:e>
                      <m:r>
                        <m:t>3</m:t>
                      </m:r>
                    </m:e>
                  </m:rad>
                </m:num>
                <m:den>
                  <m:r>
                    <m:t>2</m:t>
                  </m:r>
                </m:den>
              </m:f>
            </m:oMath>
          </w:p>
        </w:tc>
        <w:tc>
          <w:tcPr/>
          <w:p>
            <w:pPr>
              <w:pStyle w:val="Compact"/>
              <w:jc w:val="left"/>
            </w:pPr>
            <m:oMath>
              <m:f>
                <m:fPr>
                  <m:type m:val="bar"/>
                </m:fPr>
                <m:num>
                  <m:r>
                    <m:t>1</m:t>
                  </m:r>
                </m:num>
                <m:den>
                  <m:rad>
                    <m:radPr>
                      <m:degHide m:val="1"/>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1"/>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1"/>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59"/>
    <w:bookmarkStart w:id="60"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w:p>
    <w:bookmarkEnd w:id="60"/>
    <w:bookmarkStart w:id="63"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1" w:name="product-to-sum-identities"/>
    <w:p>
      <w:pPr>
        <w:pStyle w:val="Heading3"/>
      </w:pPr>
      <w:r>
        <w:t xml:space="preserve">Product-to-sum identities</w:t>
      </w:r>
    </w:p>
    <w:p>
      <w:pPr>
        <w:pStyle w:val="FirstParagraph"/>
      </w:pPr>
    </w:p>
    <w:bookmarkEnd w:id="61"/>
    <w:bookmarkStart w:id="62" w:name="sum-to-product-identities"/>
    <w:p>
      <w:pPr>
        <w:pStyle w:val="Heading3"/>
      </w:pPr>
      <w:r>
        <w:t xml:space="preserve">Sum-to-product identities</w:t>
      </w:r>
    </w:p>
    <w:p>
      <w:pPr>
        <w:pStyle w:val="FirstParagraph"/>
      </w:pPr>
    </w:p>
    <w:p>
      <w:pPr>
        <w:pStyle w:val="BodyText"/>
      </w:pPr>
      <w:r>
        <w:t xml:space="preserve">Together with the half-angle identities, the sum-to-product and the product-to-sum identities can be incredibly useful in integrating trigonometric functions and in simplifying more complicated trigonometric expressions.</w:t>
      </w:r>
    </w:p>
    <w:bookmarkEnd w:id="62"/>
    <w:bookmarkEnd w:id="63"/>
    <w:bookmarkStart w:id="64"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numPr>
          <w:ilvl w:val="0"/>
          <w:numId w:val="1001"/>
        </w:numPr>
        <w:pStyle w:val="Compact"/>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numPr>
          <w:ilvl w:val="0"/>
          <w:numId w:val="1001"/>
        </w:numPr>
        <w:pStyle w:val="Compact"/>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numPr>
          <w:ilvl w:val="0"/>
          <w:numId w:val="1001"/>
        </w:numPr>
        <w:pStyle w:val="Compact"/>
      </w:pPr>
      <m:oMath>
        <m:r>
          <m:t>2</m:t>
        </m:r>
        <m:r>
          <m:rPr>
            <m:sty m:val="p"/>
          </m:rPr>
          <m:t>sin</m:t>
        </m:r>
        <m:d>
          <m:dPr>
            <m:begChr m:val="("/>
            <m:endChr m:val=")"/>
            <m:sepChr m:val=""/>
            <m:grow/>
          </m:dPr>
          <m:e>
            <m:r>
              <m:t>θ</m:t>
            </m:r>
          </m:e>
        </m:d>
        <m:r>
          <m:rPr>
            <m:sty m:val="p"/>
          </m:rPr>
          <m:t>cos</m:t>
        </m:r>
        <m:d>
          <m:dPr>
            <m:begChr m:val="("/>
            <m:endChr m:val=")"/>
            <m:sepChr m:val=""/>
            <m:grow/>
          </m:dPr>
          <m:e>
            <m:r>
              <m:t>θ</m:t>
            </m:r>
          </m:e>
        </m:d>
      </m:oMath>
    </w:p>
    <w:p>
      <w:pPr>
        <w:numPr>
          <w:ilvl w:val="0"/>
          <w:numId w:val="1001"/>
        </w:numPr>
        <w:pStyle w:val="Compact"/>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numPr>
          <w:ilvl w:val="0"/>
          <w:numId w:val="1001"/>
        </w:numPr>
        <w:pStyle w:val="Compact"/>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numPr>
          <w:ilvl w:val="0"/>
          <w:numId w:val="1002"/>
        </w:numPr>
        <w:pStyle w:val="Compact"/>
      </w:pPr>
      <m:oMath>
        <m:sSup>
          <m:e>
            <m:r>
              <m:rPr>
                <m:sty m:val="p"/>
              </m:rPr>
              <m:t>csc</m:t>
            </m:r>
          </m:e>
          <m:sup>
            <m:r>
              <m:t>2</m:t>
            </m:r>
          </m:sup>
        </m:sSup>
        <m:d>
          <m:dPr>
            <m:begChr m:val="("/>
            <m:endChr m:val=")"/>
            <m:sepChr m:val=""/>
            <m:grow/>
          </m:dPr>
          <m:e>
            <m:r>
              <m:t>θ</m:t>
            </m:r>
          </m:e>
        </m:d>
      </m:oMath>
    </w:p>
    <w:p>
      <w:pPr>
        <w:numPr>
          <w:ilvl w:val="0"/>
          <w:numId w:val="1002"/>
        </w:numPr>
        <w:pStyle w:val="Compact"/>
      </w:pPr>
      <m:oMath>
        <m:r>
          <m:t>1</m:t>
        </m:r>
      </m:oMath>
    </w:p>
    <w:p>
      <w:pPr>
        <w:numPr>
          <w:ilvl w:val="0"/>
          <w:numId w:val="1002"/>
        </w:numPr>
        <w:pStyle w:val="Compact"/>
      </w:pPr>
      <m:oMath>
        <m:sSup>
          <m:e>
            <m:r>
              <m:rPr>
                <m:sty m:val="p"/>
              </m:rPr>
              <m:t>cos</m:t>
            </m:r>
          </m:e>
          <m:sup>
            <m:r>
              <m:t>3</m:t>
            </m:r>
          </m:sup>
        </m:sSup>
        <m:d>
          <m:dPr>
            <m:begChr m:val="("/>
            <m:endChr m:val=")"/>
            <m:sepChr m:val=""/>
            <m:grow/>
          </m:dPr>
          <m:e>
            <m:r>
              <m:t>θ</m:t>
            </m:r>
          </m:e>
        </m:d>
      </m:oMath>
    </w:p>
    <w:p>
      <w:pPr>
        <w:numPr>
          <w:ilvl w:val="0"/>
          <w:numId w:val="1002"/>
        </w:numPr>
        <w:pStyle w:val="Compact"/>
      </w:pPr>
      <m:oMath>
        <m:r>
          <m:rPr>
            <m:sty m:val="p"/>
          </m:rPr>
          <m:t>sin</m:t>
        </m:r>
        <m:d>
          <m:dPr>
            <m:begChr m:val="("/>
            <m:endChr m:val=")"/>
            <m:sepChr m:val=""/>
            <m:grow/>
          </m:dPr>
          <m:e>
            <m:r>
              <m:t>2</m:t>
            </m:r>
            <m:r>
              <m:t>θ</m:t>
            </m:r>
          </m:e>
        </m:d>
      </m:oMath>
    </w:p>
    <w:p>
      <w:pPr>
        <w:numPr>
          <w:ilvl w:val="0"/>
          <w:numId w:val="1002"/>
        </w:numPr>
        <w:pStyle w:val="Compact"/>
      </w:pPr>
      <m:oMath>
        <m:r>
          <m:rPr>
            <m:sty m:val="p"/>
          </m:rPr>
          <m:t>cos</m:t>
        </m:r>
        <m:d>
          <m:dPr>
            <m:begChr m:val="("/>
            <m:endChr m:val=")"/>
            <m:sepChr m:val=""/>
            <m:grow/>
          </m:dPr>
          <m:e>
            <m:r>
              <m:t>2</m:t>
            </m:r>
            <m:r>
              <m:t>θ</m:t>
            </m:r>
          </m:e>
        </m:d>
      </m:oMath>
    </w:p>
    <w:bookmarkEnd w:id="64"/>
    <w:bookmarkEnd w:id="65"/>
    <w:bookmarkStart w:id="69" w:name="further-reading"/>
    <w:p>
      <w:pPr>
        <w:pStyle w:val="Heading1"/>
      </w:pPr>
      <w:r>
        <w:t xml:space="preserve">Further reading</w:t>
      </w:r>
    </w:p>
    <w:p>
      <w:pPr>
        <w:pStyle w:val="FirstParagraph"/>
      </w:pPr>
      <w:hyperlink r:id="rId66">
        <w:r>
          <w:rPr>
            <w:rStyle w:val="Hyperlink"/>
          </w:rPr>
          <w:t xml:space="preserve">For more questions on the subject, please go to Questions: Trigonometric identities (degrees).</w:t>
        </w:r>
      </w:hyperlink>
    </w:p>
    <w:p>
      <w:pPr>
        <w:pStyle w:val="BodyText"/>
      </w:pPr>
      <w:hyperlink r:id="rId22">
        <w:r>
          <w:rPr>
            <w:rStyle w:val="Hyperlink"/>
          </w:rPr>
          <w:t xml:space="preserve">To see this guide using radians as a measure of angle, please go to Guide: Trigonometric identities (radians).</w:t>
        </w:r>
      </w:hyperlink>
    </w:p>
    <w:p>
      <w:pPr>
        <w:pStyle w:val="BodyText"/>
      </w:pPr>
      <w:hyperlink r:id="rId67">
        <w:r>
          <w:rPr>
            <w:rStyle w:val="Hyperlink"/>
          </w:rPr>
          <w:t xml:space="preserve">To understand where these identities came from, please go to Proof: Trigonometric identities.</w:t>
        </w:r>
      </w:hyperlink>
    </w:p>
    <w:bookmarkStart w:id="68" w:name="version-history"/>
    <w:p>
      <w:pPr>
        <w:pStyle w:val="Heading2"/>
      </w:pPr>
      <w:r>
        <w:t xml:space="preserve">Version history</w:t>
      </w:r>
    </w:p>
    <w:p>
      <w:pPr>
        <w:pStyle w:val="FirstParagraph"/>
      </w:pPr>
      <w:r>
        <w:t xml:space="preserve">v1.0: initial version created 08/23 by Krish Chaudhary, Shanelle Advani, Dzhemma Ruseva as part of a University of St Andrews STEP project.</w:t>
      </w:r>
    </w:p>
    <w:p>
      <w:pPr>
        <w:numPr>
          <w:ilvl w:val="0"/>
          <w:numId w:val="1003"/>
        </w:numPr>
        <w:pStyle w:val="Compact"/>
      </w:pPr>
      <w:r>
        <w:t xml:space="preserve">v1.1: edited 04/24 by tdhc, and split into a degrees and radians version.</w:t>
      </w:r>
    </w:p>
    <w:bookmarkEnd w:id="68"/>
    <w:bookmarkEnd w:id="6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55" Target="" TargetMode="External" /><Relationship Type="http://schemas.openxmlformats.org/officeDocument/2006/relationships/hyperlink" Id="rId67" Target="../proofsheets/ps-trigonometricidentities.qmd" TargetMode="External" /><Relationship Type="http://schemas.openxmlformats.org/officeDocument/2006/relationships/hyperlink" Id="rId66" Target="../questions/qs-trigonometricidentities-degrees.qmd"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55" Target="" TargetMode="External" /><Relationship Type="http://schemas.openxmlformats.org/officeDocument/2006/relationships/hyperlink" Id="rId67" Target="../proofsheets/ps-trigonometricidentities.qmd" TargetMode="External" /><Relationship Type="http://schemas.openxmlformats.org/officeDocument/2006/relationships/hyperlink" Id="rId66" Target="../questions/qs-trigonometricidentities-degrees.qmd"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(degrees)</dc:title>
  <dc:creator>Shanelle Advani, Krish Chaudhary, Dzhemma Ruseva</dc:creator>
  <cp:keywords/>
  <dcterms:created xsi:type="dcterms:W3CDTF">2024-08-20T12:49:08Z</dcterms:created>
  <dcterms:modified xsi:type="dcterms:W3CDTF">2024-08-20T12:49:08Z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FiguresPNG/trigidentities-image.png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