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9.png" ContentType="image/png"/>
  <Override PartName="/word/media/rId4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Cs/>
          <w:b/>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Cs/>
          <w:b/>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(read: laws)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Cs/>
          <w:b/>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Cs/>
          <w:b/>
        </w:rPr>
        <w:t xml:space="preserve">the writing for this project will use the second-person singular</w:t>
      </w:r>
      <w:r>
        <w:rPr>
          <w:bCs/>
          <w:b/>
        </w:rPr>
        <w:t xml:space="preserve"> </w:t>
      </w:r>
      <w:r>
        <w:rPr>
          <w:bCs/>
          <w:b/>
        </w:rPr>
        <w:t xml:space="preserve">‘</w:t>
      </w:r>
      <w:r>
        <w:rPr>
          <w:bCs/>
          <w:b/>
        </w:rPr>
        <w:t xml:space="preserve">you</w:t>
      </w:r>
      <w:r>
        <w:rPr>
          <w:bCs/>
          <w:b/>
        </w:rPr>
        <w:t xml:space="preserve">’</w:t>
      </w:r>
      <w:r>
        <w:rPr>
          <w:bCs/>
          <w:b/>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Cs/>
          <w:b/>
        </w:rPr>
        <w:t xml:space="preserve">nothing is easy</w:t>
      </w:r>
      <w:r>
        <w:t xml:space="preserve">. Not even things you learned in high school. Everyone has to start somewhere, and that somewhere might be here. A consequence of this is that</w:t>
      </w:r>
      <w:r>
        <w:t xml:space="preserve"> </w:t>
      </w:r>
      <w:r>
        <w:rPr>
          <w:iCs/>
          <w:i/>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ook w:firstRow="1" w:lastRow="0" w:firstColumn="0" w:lastColumn="0" w:noHBand="0" w:noVBand="0" w:val="0020"/>
        <w:tblCaption w:val="A list of banned words."/>
      </w:tblPr>
      <w:tblGrid>
        <w:gridCol w:w="1980"/>
        <w:gridCol w:w="1980"/>
        <w:gridCol w:w="1980"/>
        <w:gridCol w:w="1980"/>
      </w:tblGrid>
      <w:tr>
        <w:trPr>
          <w:tblHeader w:val="true"/>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A doddle</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Cs/>
          <w:b/>
        </w:rPr>
        <w:t xml:space="preserve">minimise jargon</w:t>
      </w:r>
      <w:r>
        <w:t xml:space="preserve"> </w:t>
      </w:r>
      <w:r>
        <w:t xml:space="preserve">where you can, and provide references to terms if needed. This includes symbols including the therefore symbol, quantifier symbols, the implied sign, etc.</w:t>
      </w:r>
    </w:p>
    <w:p>
      <w:pPr>
        <w:pStyle w:val="BodyText"/>
      </w:pPr>
      <w:r>
        <w:t xml:space="preserve">One of the main aims of this project is going to be a glossary of mathematical terms, so a link to this could be included in every study guide.</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barriers to understanding; barriers which should not be in place when trying to learn mathematics. Therefore,</w:t>
      </w:r>
      <w:r>
        <w:t xml:space="preserve"> </w:t>
      </w:r>
      <w:r>
        <w:rPr>
          <w:bCs/>
          <w:b/>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Cs/>
          <w:b/>
        </w:rPr>
        <w:t xml:space="preserve">avoid context</w:t>
      </w:r>
      <w:r>
        <w:t xml:space="preserve"> </w:t>
      </w:r>
      <w:r>
        <w:t xml:space="preserve">where possible.</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Start w:id="27"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Cs/>
          <w:b/>
        </w:rPr>
        <w:t xml:space="preserve">summary</w:t>
      </w:r>
      <w:r>
        <w:t xml:space="preserve">: two to three lines about the material in the study guide.</w:t>
      </w:r>
    </w:p>
    <w:p>
      <w:pPr>
        <w:numPr>
          <w:ilvl w:val="0"/>
          <w:numId w:val="1002"/>
        </w:numPr>
      </w:pPr>
      <w:r>
        <w:t xml:space="preserve">(optional) a paragraph of</w:t>
      </w:r>
      <w:r>
        <w:t xml:space="preserve"> </w:t>
      </w:r>
      <w:r>
        <w:rPr>
          <w:bCs/>
          <w:b/>
        </w:rPr>
        <w:t xml:space="preserve">presumed knowledge</w:t>
      </w:r>
      <w:r>
        <w:t xml:space="preserve">: relating any presumed knowledge to the contents of the guide.</w:t>
      </w:r>
    </w:p>
    <w:p>
      <w:pPr>
        <w:numPr>
          <w:ilvl w:val="0"/>
          <w:numId w:val="1002"/>
        </w:numPr>
      </w:pPr>
      <w:r>
        <w:t xml:space="preserve">a paragraph-long</w:t>
      </w:r>
      <w:r>
        <w:t xml:space="preserve"> </w:t>
      </w:r>
      <w:r>
        <w:rPr>
          <w:bCs/>
          <w:b/>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Cs/>
          <w:b/>
        </w:rPr>
        <w:t xml:space="preserve">guide</w:t>
      </w:r>
      <w:r>
        <w:t xml:space="preserve"> </w:t>
      </w:r>
      <w:r>
        <w:t xml:space="preserve">itself:</w:t>
      </w:r>
      <w:r>
        <w:t xml:space="preserve"> </w:t>
      </w:r>
      <w:r>
        <w:rPr>
          <w:bCs/>
          <w:b/>
        </w:rPr>
        <w:t xml:space="preserve">definitions</w:t>
      </w:r>
      <w:r>
        <w:t xml:space="preserve">,</w:t>
      </w:r>
      <w:r>
        <w:t xml:space="preserve"> </w:t>
      </w:r>
      <w:r>
        <w:rPr>
          <w:bCs/>
          <w:b/>
        </w:rPr>
        <w:t xml:space="preserve">examples</w:t>
      </w:r>
      <w:r>
        <w:t xml:space="preserve">,</w:t>
      </w:r>
      <w:r>
        <w:t xml:space="preserve"> </w:t>
      </w:r>
      <w:r>
        <w:rPr>
          <w:bCs/>
          <w:b/>
        </w:rPr>
        <w:t xml:space="preserve">results</w:t>
      </w:r>
      <w:r>
        <w:t xml:space="preserve">, followed by any</w:t>
      </w:r>
      <w:r>
        <w:t xml:space="preserve"> </w:t>
      </w:r>
      <w:r>
        <w:rPr>
          <w:bCs/>
          <w:b/>
        </w:rPr>
        <w:t xml:space="preserve">justification</w:t>
      </w:r>
      <w:r>
        <w:t xml:space="preserve"> </w:t>
      </w:r>
      <w:r>
        <w:t xml:space="preserve">for the results.</w:t>
      </w:r>
    </w:p>
    <w:p>
      <w:pPr>
        <w:numPr>
          <w:ilvl w:val="0"/>
          <w:numId w:val="1002"/>
        </w:numPr>
      </w:pPr>
      <w:r>
        <w:t xml:space="preserve">a</w:t>
      </w:r>
      <w:r>
        <w:t xml:space="preserve"> </w:t>
      </w:r>
      <w:r>
        <w:rPr>
          <w:bCs/>
          <w:b/>
        </w:rPr>
        <w:t xml:space="preserve">quick check</w:t>
      </w:r>
      <w:r>
        <w:t xml:space="preserve">: two or three introductory questions with multiple choice/fill-in-the-blanks to reinforce knowledge. (Machinery provided by [webexercises 1.1.0](</w:t>
      </w:r>
    </w:p>
    <w:p>
      <w:pPr>
        <w:numPr>
          <w:ilvl w:val="0"/>
          <w:numId w:val="1002"/>
        </w:numPr>
      </w:pPr>
      <w:r>
        <w:t xml:space="preserve">(optional) a list of guides for</w:t>
      </w:r>
      <w:r>
        <w:t xml:space="preserve"> </w:t>
      </w:r>
      <w:r>
        <w:rPr>
          <w:bCs/>
          <w:b/>
        </w:rPr>
        <w:t xml:space="preserve">further reading</w:t>
      </w:r>
      <w:r>
        <w:t xml:space="preserve">.</w:t>
      </w:r>
    </w:p>
    <w:p>
      <w:pPr>
        <w:pStyle w:val="FirstParagraph"/>
      </w:pPr>
      <w:r>
        <w:t xml:space="preserve">Of these, focus on number 4 first. The summary, presumed knowledge, and introduction should be written at the</w:t>
      </w:r>
      <w:r>
        <w:t xml:space="preserve"> </w:t>
      </w:r>
      <w:r>
        <w:rPr>
          <w:bCs/>
          <w:b/>
        </w:rPr>
        <w:t xml:space="preserve">very end</w:t>
      </w:r>
      <w:r>
        <w:t xml:space="preserve">.</w:t>
      </w:r>
    </w:p>
    <w:bookmarkEnd w:id="27"/>
    <w:bookmarkStart w:id="44" w:name="guide-to-formatting"/>
    <w:p>
      <w:pPr>
        <w:pStyle w:val="Heading2"/>
      </w:pPr>
      <w:r>
        <w:t xml:space="preserve">Guide to formatting</w:t>
      </w:r>
    </w:p>
    <w:bookmarkStart w:id="28" w:name="writing"/>
    <w:p>
      <w:pPr>
        <w:pStyle w:val="Heading3"/>
      </w:pPr>
      <w:r>
        <w:t xml:space="preserve">Writing</w:t>
      </w:r>
    </w:p>
    <w:p>
      <w:pPr>
        <w:numPr>
          <w:ilvl w:val="0"/>
          <w:numId w:val="1003"/>
        </w:numPr>
        <w:pStyle w:val="Compact"/>
      </w:pPr>
      <w:r>
        <w:t xml:space="preserve">Avoid italics and underlining; emphasise using bold text only.</w:t>
      </w:r>
    </w:p>
    <w:bookmarkEnd w:id="28"/>
    <w:bookmarkStart w:id="43" w:name="content"/>
    <w:p>
      <w:pPr>
        <w:pStyle w:val="Heading3"/>
      </w:pPr>
      <w:r>
        <w:t xml:space="preserve">Content</w:t>
      </w:r>
    </w:p>
    <w:p>
      <w:pPr>
        <w:numPr>
          <w:ilvl w:val="0"/>
          <w:numId w:val="1004"/>
        </w:numPr>
      </w:pPr>
      <w:r>
        <w:t xml:space="preserve">Definitions and results need not be numbered; there should only be two or three of these in the study guide.</w:t>
      </w:r>
    </w:p>
    <w:p>
      <w:pPr>
        <w:numPr>
          <w:ilvl w:val="0"/>
          <w:numId w:val="1004"/>
        </w:numPr>
      </w:pPr>
      <w:r>
        <w:t xml:space="preserve">Examples should be numbered, since there are more of these than definitions and results.</w:t>
      </w:r>
    </w:p>
    <w:p>
      <w:pPr>
        <w:numPr>
          <w:ilvl w:val="0"/>
          <w:numId w:val="1004"/>
        </w:numPr>
      </w:pPr>
      <w:r>
        <w:t xml:space="preserve">There are five environments (called</w:t>
      </w:r>
      <w:r>
        <w:t xml:space="preserve"> </w:t>
      </w:r>
      <w:r>
        <w:rPr>
          <w:bCs/>
          <w:b/>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Cs/>
                <w:b/>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3"/>
    <w:bookmarkEnd w:id="44"/>
    <w:bookmarkStart w:id="45" w:name="guide-to-maths"/>
    <w:p>
      <w:pPr>
        <w:pStyle w:val="Heading2"/>
      </w:pPr>
      <w:r>
        <w:t xml:space="preserve">Guide to maths</w:t>
      </w:r>
    </w:p>
    <w:bookmarkEnd w:id="45"/>
    <w:bookmarkStart w:id="49" w:name="resources"/>
    <w:p>
      <w:pPr>
        <w:pStyle w:val="Heading2"/>
      </w:pPr>
      <w:r>
        <w:t xml:space="preserve">Resources</w:t>
      </w:r>
    </w:p>
    <w:p>
      <w:pPr>
        <w:numPr>
          <w:ilvl w:val="0"/>
          <w:numId w:val="1005"/>
        </w:numPr>
      </w:pPr>
      <w:hyperlink r:id="rId46">
        <w:r>
          <w:rPr>
            <w:rStyle w:val="Hyperlink"/>
          </w:rPr>
          <w:t xml:space="preserve">UK Government guidance on producing accessible documents</w:t>
        </w:r>
      </w:hyperlink>
    </w:p>
    <w:p>
      <w:pPr>
        <w:numPr>
          <w:ilvl w:val="0"/>
          <w:numId w:val="1005"/>
        </w:numPr>
      </w:pPr>
      <w:hyperlink r:id="rId47">
        <w:r>
          <w:rPr>
            <w:rStyle w:val="Hyperlink"/>
          </w:rPr>
          <w:t xml:space="preserve">British Dyslexic Association style guide</w:t>
        </w:r>
      </w:hyperlink>
    </w:p>
    <w:p>
      <w:pPr>
        <w:numPr>
          <w:ilvl w:val="0"/>
          <w:numId w:val="1005"/>
        </w:numPr>
      </w:pPr>
      <w:hyperlink r:id="rId48">
        <w:r>
          <w:rPr>
            <w:rStyle w:val="Hyperlink"/>
          </w:rPr>
          <w:t xml:space="preserve">London Mathematical Society: Mathematics and Accessibility</w:t>
        </w:r>
      </w:hyperlink>
    </w:p>
    <w:bookmarkEnd w:id="4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4" Target="media/rId34.png" /><Relationship Type="http://schemas.openxmlformats.org/officeDocument/2006/relationships/hyperlink" Id="rId47" Target="https://cdn.bdadyslexia.org.uk/uploads/documents/Advice/style-guide/BDA-Style-Guide-2023.pdf?v=1680514568" TargetMode="External" /><Relationship Type="http://schemas.openxmlformats.org/officeDocument/2006/relationships/hyperlink" Id="rId46" Target="https://www.gov.uk/guidance/publishing-accessible-documents" TargetMode="External" /><Relationship Type="http://schemas.openxmlformats.org/officeDocument/2006/relationships/hyperlink" Id="rId48" Target="https://www.lms.ac.uk/policy/mathematics-and-accessibility" TargetMode="External" /></Relationships>
</file>

<file path=word/_rels/footnotes.xml.rels><?xml version="1.0" encoding="UTF-8"?><Relationships xmlns="http://schemas.openxmlformats.org/package/2006/relationships"><Relationship Type="http://schemas.openxmlformats.org/officeDocument/2006/relationships/hyperlink" Id="rId47" Target="https://cdn.bdadyslexia.org.uk/uploads/documents/Advice/style-guide/BDA-Style-Guide-2023.pdf?v=1680514568" TargetMode="External" /><Relationship Type="http://schemas.openxmlformats.org/officeDocument/2006/relationships/hyperlink" Id="rId46" Target="https://www.gov.uk/guidance/publishing-accessible-documents" TargetMode="External" /><Relationship Type="http://schemas.openxmlformats.org/officeDocument/2006/relationships/hyperlink" Id="rId48" Target="https://www.lms.ac.uk/policy/mathematics-and-accessi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2023-05-17T13:46:01Z</dcterms:created>
  <dcterms:modified xsi:type="dcterms:W3CDTF">2023-05-17T13:46:01Z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