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(read: laws)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5" w:name="study-guide-style"/>
    <w:p>
      <w:pPr>
        <w:pStyle w:val="Heading1"/>
      </w:pPr>
      <w:r>
        <w:t xml:space="preserve">Study guide style</w:t>
      </w:r>
    </w:p>
    <w:bookmarkStart w:id="28"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 [webexercises 1.1.0](</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8"/>
    <w:bookmarkStart w:id="43"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3"/>
    <w:bookmarkStart w:id="44"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w:t>
      </w:r>
    </w:p>
    <w:bookmarkEnd w:id="44"/>
    <w:bookmarkEnd w:id="45"/>
    <w:bookmarkStart w:id="50" w:name="questions-and-answers-style"/>
    <w:p>
      <w:pPr>
        <w:pStyle w:val="Heading1"/>
      </w:pPr>
      <w:r>
        <w:t xml:space="preserve">Questions and answers style</w:t>
      </w:r>
    </w:p>
    <w:bookmarkStart w:id="49" w:name="guide-to-structure-1"/>
    <w:p>
      <w:pPr>
        <w:pStyle w:val="Heading2"/>
      </w:pPr>
      <w:r>
        <w:t xml:space="preserve">Guide to structure</w:t>
      </w:r>
    </w:p>
    <w:bookmarkStart w:id="46"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6"/>
    <w:bookmarkStart w:id="47" w:name="answers"/>
    <w:p>
      <w:pPr>
        <w:pStyle w:val="Heading3"/>
      </w:pPr>
      <w:r>
        <w:t xml:space="preserve">Answers</w:t>
      </w:r>
    </w:p>
    <w:p>
      <w:pPr>
        <w:pStyle w:val="FirstParagraph"/>
      </w:pPr>
      <w:r>
        <w:t xml:space="preserve">Each question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study guide</w:t>
      </w:r>
      <w:r>
        <w:t xml:space="preserve"> </w:t>
      </w:r>
      <w:r>
        <w:rPr>
          <w:iCs/>
          <w:i/>
        </w:rPr>
        <w:t xml:space="preserve">and</w:t>
      </w:r>
      <w:r>
        <w:t xml:space="preserve"> </w:t>
      </w:r>
      <w:r>
        <w:t xml:space="preserve">a link to the questions should always be included.</w:t>
      </w:r>
    </w:p>
    <w:p>
      <w:pPr>
        <w:numPr>
          <w:ilvl w:val="0"/>
          <w:numId w:val="1006"/>
        </w:numPr>
      </w:pPr>
      <w:r>
        <w:t xml:space="preserve">The</w:t>
      </w:r>
      <w:r>
        <w:t xml:space="preserve"> </w:t>
      </w:r>
      <w:r>
        <w:rPr>
          <w:bCs/>
          <w:b/>
        </w:rPr>
        <w:t xml:space="preserve">questions</w:t>
      </w:r>
      <w:r>
        <w:t xml:space="preserve"> </w:t>
      </w:r>
      <w:r>
        <w:t xml:space="preserve">themselves: aim for lots.</w:t>
      </w:r>
    </w:p>
    <w:p>
      <w:pPr>
        <w:numPr>
          <w:ilvl w:val="0"/>
          <w:numId w:val="1006"/>
        </w:numPr>
      </w:pPr>
      <w:r>
        <w:t xml:space="preserve">A</w:t>
      </w:r>
      <w:r>
        <w:t xml:space="preserve"> </w:t>
      </w:r>
      <w:r>
        <w:rPr>
          <w:bCs/>
          <w:b/>
        </w:rPr>
        <w:t xml:space="preserve">link to the answers</w:t>
      </w:r>
      <w:r>
        <w:t xml:space="preserve"> </w:t>
      </w:r>
      <w:r>
        <w:t xml:space="preserve">at the bottom.</w:t>
      </w:r>
    </w:p>
    <w:bookmarkEnd w:id="47"/>
    <w:bookmarkStart w:id="48"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8"/>
    <w:bookmarkEnd w:id="49"/>
    <w:bookmarkEnd w:id="50"/>
    <w:bookmarkStart w:id="59" w:name="general-formatting"/>
    <w:p>
      <w:pPr>
        <w:pStyle w:val="Heading1"/>
      </w:pPr>
      <w:r>
        <w:t xml:space="preserve">General formatting</w:t>
      </w:r>
    </w:p>
    <w:bookmarkStart w:id="51" w:name="writing"/>
    <w:p>
      <w:pPr>
        <w:pStyle w:val="Heading2"/>
      </w:pPr>
      <w:r>
        <w:t xml:space="preserve">Writing</w:t>
      </w:r>
    </w:p>
    <w:p>
      <w:pPr>
        <w:numPr>
          <w:ilvl w:val="0"/>
          <w:numId w:val="1008"/>
        </w:numPr>
      </w:pPr>
      <w:r>
        <w:t xml:space="preserve">Avoid italics and underlining; emphasise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bookmarkEnd w:id="51"/>
    <w:bookmarkStart w:id="52" w:name="maths"/>
    <w:p>
      <w:pPr>
        <w:pStyle w:val="Heading2"/>
      </w:pPr>
      <w:r>
        <w:t xml:space="preserve">Maths</w:t>
      </w:r>
    </w:p>
    <w:p>
      <w:pPr>
        <w:numPr>
          <w:ilvl w:val="0"/>
          <w:numId w:val="1009"/>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09"/>
        </w:numPr>
      </w:pPr>
      <w:r>
        <w:t xml:space="preserve">Use</w:t>
      </w:r>
      <w:r>
        <w:t xml:space="preserve"> </w:t>
      </w:r>
      <m:oMath>
        <m:r>
          <m:rPr>
            <m:sty m:val="p"/>
          </m:rPr>
          <m:t>ln</m:t>
        </m:r>
      </m:oMath>
      <w:r>
        <w:t xml:space="preserve"> </w:t>
      </w:r>
      <w:r>
        <w:t xml:space="preserve">for the natural logarithm.</w:t>
      </w:r>
    </w:p>
    <w:p>
      <w:pPr>
        <w:numPr>
          <w:ilvl w:val="0"/>
          <w:numId w:val="1009"/>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bookmarkEnd w:id="52"/>
    <w:bookmarkStart w:id="58" w:name="resources"/>
    <w:p>
      <w:pPr>
        <w:pStyle w:val="Heading2"/>
      </w:pPr>
      <w:r>
        <w:t xml:space="preserve">Resources</w:t>
      </w:r>
    </w:p>
    <w:p>
      <w:pPr>
        <w:numPr>
          <w:ilvl w:val="0"/>
          <w:numId w:val="1010"/>
        </w:numPr>
      </w:pPr>
      <w:hyperlink r:id="rId53">
        <w:r>
          <w:rPr>
            <w:rStyle w:val="Hyperlink"/>
          </w:rPr>
          <w:t xml:space="preserve">UK Government guidance on producing accessible documents</w:t>
        </w:r>
      </w:hyperlink>
    </w:p>
    <w:p>
      <w:pPr>
        <w:numPr>
          <w:ilvl w:val="0"/>
          <w:numId w:val="1010"/>
        </w:numPr>
      </w:pPr>
      <w:hyperlink r:id="rId54">
        <w:r>
          <w:rPr>
            <w:rStyle w:val="Hyperlink"/>
          </w:rPr>
          <w:t xml:space="preserve">British Dyslexic Association style guide</w:t>
        </w:r>
      </w:hyperlink>
    </w:p>
    <w:p>
      <w:pPr>
        <w:numPr>
          <w:ilvl w:val="0"/>
          <w:numId w:val="1010"/>
        </w:numPr>
      </w:pPr>
      <w:hyperlink r:id="rId55">
        <w:r>
          <w:rPr>
            <w:rStyle w:val="Hyperlink"/>
          </w:rPr>
          <w:t xml:space="preserve">London Mathematical Society: Mathematics and Accessibility</w:t>
        </w:r>
      </w:hyperlink>
    </w:p>
    <w:p>
      <w:pPr>
        <w:numPr>
          <w:ilvl w:val="0"/>
          <w:numId w:val="1010"/>
        </w:numPr>
      </w:pPr>
      <w:hyperlink r:id="rId56">
        <w:r>
          <w:rPr>
            <w:rStyle w:val="Hyperlink"/>
          </w:rPr>
          <w:t xml:space="preserve">Make Things Accessible: Accessible STEMM introduction</w:t>
        </w:r>
      </w:hyperlink>
    </w:p>
    <w:p>
      <w:pPr>
        <w:numPr>
          <w:ilvl w:val="0"/>
          <w:numId w:val="1010"/>
        </w:numPr>
      </w:pPr>
      <w:hyperlink r:id="rId57">
        <w:r>
          <w:rPr>
            <w:rStyle w:val="Hyperlink"/>
          </w:rPr>
          <w:t xml:space="preserve">Symbols guide - inspiration for ours!</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hyperlink" Id="rId54" Target="https://cdn.bdadyslexia.org.uk/uploads/documents/Advice/style-guide/BDA-Style-Guide-2023.pdf?v=1680514568" TargetMode="External" /><Relationship Type="http://schemas.openxmlformats.org/officeDocument/2006/relationships/hyperlink" Id="rId57" Target="https://physics.info/symbols/" TargetMode="External" /><Relationship Type="http://schemas.openxmlformats.org/officeDocument/2006/relationships/hyperlink" Id="rId53" Target="https://www.gov.uk/guidance/publishing-accessible-documents" TargetMode="External" /><Relationship Type="http://schemas.openxmlformats.org/officeDocument/2006/relationships/hyperlink" Id="rId55" Target="https://www.lms.ac.uk/policy/mathematics-and-accessibility" TargetMode="External" /><Relationship Type="http://schemas.openxmlformats.org/officeDocument/2006/relationships/hyperlink" Id="rId56"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4" Target="https://cdn.bdadyslexia.org.uk/uploads/documents/Advice/style-guide/BDA-Style-Guide-2023.pdf?v=1680514568" TargetMode="External" /><Relationship Type="http://schemas.openxmlformats.org/officeDocument/2006/relationships/hyperlink" Id="rId57" Target="https://physics.info/symbols/" TargetMode="External" /><Relationship Type="http://schemas.openxmlformats.org/officeDocument/2006/relationships/hyperlink" Id="rId53" Target="https://www.gov.uk/guidance/publishing-accessible-documents" TargetMode="External" /><Relationship Type="http://schemas.openxmlformats.org/officeDocument/2006/relationships/hyperlink" Id="rId55" Target="https://www.lms.ac.uk/policy/mathematics-and-accessibility" TargetMode="External" /><Relationship Type="http://schemas.openxmlformats.org/officeDocument/2006/relationships/hyperlink" Id="rId56"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2023-05-22T09:14:40Z</dcterms:created>
  <dcterms:modified xsi:type="dcterms:W3CDTF">2023-05-22T09:14:40Z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