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unfinished</w:t>
      </w:r>
      <w:r>
        <w:t xml:space="preserve"> </w:t>
      </w:r>
      <w:r>
        <w:t xml:space="preserve">as</w:t>
      </w:r>
      <w:r>
        <w:t xml:space="preserve"> </w:t>
      </w:r>
      <w:r>
        <w:t xml:space="preserve">of</w:t>
      </w:r>
      <w:r>
        <w:t xml:space="preserve"> </w:t>
      </w:r>
      <w:r>
        <w:t xml:space="preserve">the</w:t>
      </w:r>
      <w:r>
        <w:t xml:space="preserve"> </w:t>
      </w:r>
      <w:r>
        <w:t xml:space="preserve">initial</w:t>
      </w:r>
      <w:r>
        <w:t xml:space="preserve"> </w:t>
      </w:r>
      <w:r>
        <w:t xml:space="preserve">commit</w:t>
      </w:r>
      <w:r>
        <w:t xml:space="preserve"> </w:t>
      </w:r>
      <w:r>
        <w:t xml:space="preserve">on</w:t>
      </w:r>
      <w:r>
        <w:t xml:space="preserve"> </w:t>
      </w:r>
      <w:r>
        <w:t xml:space="preserve">26/05/23),</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Cs/>
          <w:b/>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Cs/>
          <w:b/>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Cs/>
          <w:b/>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Cs/>
          <w:b/>
        </w:rPr>
        <w:t xml:space="preserve">the writing for this project will use the second-person singular</w:t>
      </w:r>
      <w:r>
        <w:rPr>
          <w:bCs/>
          <w:b/>
        </w:rPr>
        <w:t xml:space="preserve"> </w:t>
      </w:r>
      <w:r>
        <w:rPr>
          <w:bCs/>
          <w:b/>
        </w:rPr>
        <w:t xml:space="preserve">‘</w:t>
      </w:r>
      <w:r>
        <w:rPr>
          <w:bCs/>
          <w:b/>
        </w:rPr>
        <w:t xml:space="preserve">you</w:t>
      </w:r>
      <w:r>
        <w:rPr>
          <w:bCs/>
          <w:b/>
        </w:rPr>
        <w:t xml:space="preserve">’</w:t>
      </w:r>
      <w:r>
        <w:rPr>
          <w:bCs/>
          <w:b/>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Cs/>
          <w:b/>
        </w:rPr>
        <w:t xml:space="preserve">nothing is easy</w:t>
      </w:r>
      <w:r>
        <w:t xml:space="preserve">. Not even things you learned in high school. Everyone has to start somewhere, and that somewhere might be here. A consequence of this is that</w:t>
      </w:r>
      <w:r>
        <w:t xml:space="preserve"> </w:t>
      </w:r>
      <w:r>
        <w:rPr>
          <w:iCs/>
          <w:i/>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ook w:firstRow="1" w:lastRow="0" w:firstColumn="0" w:lastColumn="0" w:noHBand="0" w:noVBand="0" w:val="0020"/>
        <w:jc w:val="start"/>
        <w:tblCaption w:val="A list of banned words."/>
      </w:tblPr>
      <w:tblGrid>
        <w:gridCol w:w="1980"/>
        <w:gridCol w:w="1980"/>
        <w:gridCol w:w="1980"/>
        <w:gridCol w:w="1980"/>
      </w:tblGrid>
      <w:tr>
        <w:trPr>
          <w:tblHeader w:val="true"/>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A doddle</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Cs/>
          <w:b/>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p>
      <w:pPr>
        <w:pStyle w:val="BodyText"/>
      </w:pPr>
      <w:r>
        <w:t xml:space="preserve">One of the main aims of this project is going to be a glossary of mathematical terms, so a link to this could be included in every study guide.</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barriers to understanding; barriers which should not be in place when trying to learn mathematics. Therefore,</w:t>
      </w:r>
      <w:r>
        <w:t xml:space="preserve"> </w:t>
      </w:r>
      <w:r>
        <w:rPr>
          <w:bCs/>
          <w:b/>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Cs/>
          <w:b/>
        </w:rPr>
        <w:t xml:space="preserve">avoid context</w:t>
      </w:r>
      <w:r>
        <w:t xml:space="preserve"> </w:t>
      </w:r>
      <w:r>
        <w:t xml:space="preserve">where possible.</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Cs/>
          <w:b/>
        </w:rPr>
        <w:t xml:space="preserve">summary</w:t>
      </w:r>
      <w:r>
        <w:t xml:space="preserve">: two to three lines about the material in the study guide.</w:t>
      </w:r>
    </w:p>
    <w:p>
      <w:pPr>
        <w:numPr>
          <w:ilvl w:val="0"/>
          <w:numId w:val="1002"/>
        </w:numPr>
      </w:pPr>
      <w:r>
        <w:t xml:space="preserve">(optional) a paragraph of</w:t>
      </w:r>
      <w:r>
        <w:t xml:space="preserve"> </w:t>
      </w:r>
      <w:r>
        <w:rPr>
          <w:bCs/>
          <w:b/>
        </w:rPr>
        <w:t xml:space="preserve">presumed knowledge</w:t>
      </w:r>
      <w:r>
        <w:t xml:space="preserve">: relating any presumed knowledge to the contents of the guide.</w:t>
      </w:r>
    </w:p>
    <w:p>
      <w:pPr>
        <w:numPr>
          <w:ilvl w:val="0"/>
          <w:numId w:val="1002"/>
        </w:numPr>
      </w:pPr>
      <w:r>
        <w:t xml:space="preserve">a paragraph-long</w:t>
      </w:r>
      <w:r>
        <w:t xml:space="preserve"> </w:t>
      </w:r>
      <w:r>
        <w:rPr>
          <w:bCs/>
          <w:b/>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Cs/>
          <w:b/>
        </w:rPr>
        <w:t xml:space="preserve">guide</w:t>
      </w:r>
      <w:r>
        <w:t xml:space="preserve"> </w:t>
      </w:r>
      <w:r>
        <w:t xml:space="preserve">itself:</w:t>
      </w:r>
      <w:r>
        <w:t xml:space="preserve"> </w:t>
      </w:r>
      <w:r>
        <w:rPr>
          <w:bCs/>
          <w:b/>
        </w:rPr>
        <w:t xml:space="preserve">definitions</w:t>
      </w:r>
      <w:r>
        <w:t xml:space="preserve">,</w:t>
      </w:r>
      <w:r>
        <w:t xml:space="preserve"> </w:t>
      </w:r>
      <w:r>
        <w:rPr>
          <w:bCs/>
          <w:b/>
        </w:rPr>
        <w:t xml:space="preserve">examples</w:t>
      </w:r>
      <w:r>
        <w:t xml:space="preserve">,</w:t>
      </w:r>
      <w:r>
        <w:t xml:space="preserve"> </w:t>
      </w:r>
      <w:r>
        <w:rPr>
          <w:bCs/>
          <w:b/>
        </w:rPr>
        <w:t xml:space="preserve">results</w:t>
      </w:r>
      <w:r>
        <w:t xml:space="preserve">, followed by any</w:t>
      </w:r>
      <w:r>
        <w:t xml:space="preserve"> </w:t>
      </w:r>
      <w:r>
        <w:rPr>
          <w:bCs/>
          <w:b/>
        </w:rPr>
        <w:t xml:space="preserve">justification</w:t>
      </w:r>
      <w:r>
        <w:t xml:space="preserve"> </w:t>
      </w:r>
      <w:r>
        <w:t xml:space="preserve">for the results.</w:t>
      </w:r>
    </w:p>
    <w:p>
      <w:pPr>
        <w:numPr>
          <w:ilvl w:val="0"/>
          <w:numId w:val="1002"/>
        </w:numPr>
      </w:pPr>
      <w:r>
        <w:t xml:space="preserve">a</w:t>
      </w:r>
      <w:r>
        <w:t xml:space="preserve"> </w:t>
      </w:r>
      <w:r>
        <w:rPr>
          <w:bCs/>
          <w:b/>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(optional) a list of guides for</w:t>
      </w:r>
      <w:r>
        <w:t xml:space="preserve"> </w:t>
      </w:r>
      <w:r>
        <w:rPr>
          <w:bCs/>
          <w:b/>
        </w:rPr>
        <w:t xml:space="preserve">further reading</w:t>
      </w:r>
      <w:r>
        <w:t xml:space="preserve">.</w:t>
      </w:r>
    </w:p>
    <w:p>
      <w:pPr>
        <w:pStyle w:val="FirstParagraph"/>
      </w:pPr>
      <w:r>
        <w:t xml:space="preserve">Of these, focus on number 4 first. The summary, presumed knowledge, and introduction should be written at the</w:t>
      </w:r>
      <w:r>
        <w:t xml:space="preserve"> </w:t>
      </w:r>
      <w:r>
        <w:rPr>
          <w:bCs/>
          <w:b/>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Cs/>
          <w:b/>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Cs/>
                <w:b/>
              </w:rPr>
              <w:t xml:space="preserve">property x</w:t>
            </w:r>
            <w:r>
              <w:t xml:space="preserve"> </w:t>
            </w:r>
            <w:r>
              <w:t xml:space="preserve">is bolded.</w:t>
            </w:r>
          </w:p>
        </w:tc>
      </w:tr>
    </w:tbl>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Cs/>
          <w:b/>
        </w:rPr>
        <w:t xml:space="preserve">summary</w:t>
      </w:r>
      <w:r>
        <w:t xml:space="preserve">: one line about the material in the questions.</w:t>
      </w:r>
    </w:p>
    <w:p>
      <w:pPr>
        <w:numPr>
          <w:ilvl w:val="0"/>
          <w:numId w:val="1005"/>
        </w:numPr>
      </w:pPr>
      <w:r>
        <w:t xml:space="preserve">A paragraph of</w:t>
      </w:r>
      <w:r>
        <w:t xml:space="preserve"> </w:t>
      </w:r>
      <w:r>
        <w:rPr>
          <w:bCs/>
          <w:b/>
        </w:rPr>
        <w:t xml:space="preserve">presumed knowledge</w:t>
      </w:r>
      <w:r>
        <w:t xml:space="preserve">: relating any presumed knowledge to the contents of the guide. A link to the study gide should always be included.</w:t>
      </w:r>
    </w:p>
    <w:p>
      <w:pPr>
        <w:numPr>
          <w:ilvl w:val="0"/>
          <w:numId w:val="1005"/>
        </w:numPr>
      </w:pPr>
      <w:r>
        <w:t xml:space="preserve">The</w:t>
      </w:r>
      <w:r>
        <w:t xml:space="preserve"> </w:t>
      </w:r>
      <w:r>
        <w:rPr>
          <w:bCs/>
          <w:b/>
        </w:rPr>
        <w:t xml:space="preserve">questions</w:t>
      </w:r>
      <w:r>
        <w:t xml:space="preserve"> </w:t>
      </w:r>
      <w:r>
        <w:t xml:space="preserve">themselves: aim for lots.</w:t>
      </w:r>
    </w:p>
    <w:p>
      <w:pPr>
        <w:numPr>
          <w:ilvl w:val="0"/>
          <w:numId w:val="1005"/>
        </w:numPr>
      </w:pPr>
      <w:r>
        <w:t xml:space="preserve">A</w:t>
      </w:r>
      <w:r>
        <w:t xml:space="preserve"> </w:t>
      </w:r>
      <w:r>
        <w:rPr>
          <w:bCs/>
          <w:b/>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question set should have:</w:t>
      </w:r>
    </w:p>
    <w:p>
      <w:pPr>
        <w:numPr>
          <w:ilvl w:val="0"/>
          <w:numId w:val="1006"/>
        </w:numPr>
      </w:pPr>
      <w:r>
        <w:t xml:space="preserve">A</w:t>
      </w:r>
      <w:r>
        <w:t xml:space="preserve"> </w:t>
      </w:r>
      <w:r>
        <w:rPr>
          <w:bCs/>
          <w:b/>
        </w:rPr>
        <w:t xml:space="preserve">summary</w:t>
      </w:r>
      <w:r>
        <w:t xml:space="preserve">: one line about the material in the questions.</w:t>
      </w:r>
    </w:p>
    <w:p>
      <w:pPr>
        <w:numPr>
          <w:ilvl w:val="0"/>
          <w:numId w:val="1006"/>
        </w:numPr>
      </w:pPr>
      <w:r>
        <w:t xml:space="preserve">A paragraph of</w:t>
      </w:r>
      <w:r>
        <w:t xml:space="preserve"> </w:t>
      </w:r>
      <w:r>
        <w:rPr>
          <w:bCs/>
          <w:b/>
        </w:rPr>
        <w:t xml:space="preserve">presumed knowledge</w:t>
      </w:r>
      <w:r>
        <w:t xml:space="preserve">: relating any presumed knowledge to the contents of the guide. A link to the study guide</w:t>
      </w:r>
      <w:r>
        <w:t xml:space="preserve"> </w:t>
      </w:r>
      <w:r>
        <w:rPr>
          <w:iCs/>
          <w:i/>
        </w:rPr>
        <w:t xml:space="preserve">and</w:t>
      </w:r>
      <w:r>
        <w:t xml:space="preserve"> </w:t>
      </w:r>
      <w:r>
        <w:t xml:space="preserve">a link to the questions should always be included.</w:t>
      </w:r>
    </w:p>
    <w:p>
      <w:pPr>
        <w:numPr>
          <w:ilvl w:val="0"/>
          <w:numId w:val="1006"/>
        </w:numPr>
      </w:pPr>
      <w:r>
        <w:t xml:space="preserve">The</w:t>
      </w:r>
      <w:r>
        <w:t xml:space="preserve"> </w:t>
      </w:r>
      <w:r>
        <w:rPr>
          <w:bCs/>
          <w:b/>
        </w:rPr>
        <w:t xml:space="preserve">questions</w:t>
      </w:r>
      <w:r>
        <w:t xml:space="preserve"> </w:t>
      </w:r>
      <w:r>
        <w:t xml:space="preserve">themselves: aim for lots.</w:t>
      </w:r>
    </w:p>
    <w:p>
      <w:pPr>
        <w:numPr>
          <w:ilvl w:val="0"/>
          <w:numId w:val="1006"/>
        </w:numPr>
      </w:pPr>
      <w:r>
        <w:t xml:space="preserve">A</w:t>
      </w:r>
      <w:r>
        <w:t xml:space="preserve"> </w:t>
      </w:r>
      <w:r>
        <w:rPr>
          <w:bCs/>
          <w:b/>
        </w:rPr>
        <w:t xml:space="preserve">link to the answers</w:t>
      </w:r>
      <w:r>
        <w:t xml:space="preserve"> </w:t>
      </w:r>
      <w:r>
        <w:t xml:space="preserve">at the bottom.</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0"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emphasise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Cs/>
          <w:b/>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bookmarkEnd w:id="52"/>
    <w:bookmarkStart w:id="53" w:name="maths"/>
    <w:p>
      <w:pPr>
        <w:pStyle w:val="Heading2"/>
      </w:pPr>
      <w:r>
        <w:t xml:space="preserve">Maths</w:t>
      </w:r>
    </w:p>
    <w:p>
      <w:pPr>
        <w:numPr>
          <w:ilvl w:val="0"/>
          <w:numId w:val="1009"/>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09"/>
        </w:numPr>
      </w:pPr>
      <w:r>
        <w:t xml:space="preserve">Use</w:t>
      </w:r>
      <w:r>
        <w:t xml:space="preserve"> </w:t>
      </w:r>
      <m:oMath>
        <m:r>
          <m:rPr>
            <m:sty m:val="p"/>
          </m:rPr>
          <m:t>ln</m:t>
        </m:r>
      </m:oMath>
      <w:r>
        <w:t xml:space="preserve"> </w:t>
      </w:r>
      <w:r>
        <w:t xml:space="preserve">for the natural logarithm.</w:t>
      </w:r>
    </w:p>
    <w:p>
      <w:pPr>
        <w:numPr>
          <w:ilvl w:val="0"/>
          <w:numId w:val="1009"/>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bookmarkEnd w:id="53"/>
    <w:bookmarkStart w:id="59" w:name="resources"/>
    <w:p>
      <w:pPr>
        <w:pStyle w:val="Heading2"/>
      </w:pPr>
      <w:r>
        <w:t xml:space="preserve">Resources</w:t>
      </w:r>
    </w:p>
    <w:p>
      <w:pPr>
        <w:numPr>
          <w:ilvl w:val="0"/>
          <w:numId w:val="1010"/>
        </w:numPr>
      </w:pPr>
      <w:hyperlink r:id="rId54">
        <w:r>
          <w:rPr>
            <w:rStyle w:val="Hyperlink"/>
          </w:rPr>
          <w:t xml:space="preserve">UK Government guidance on producing accessible documents</w:t>
        </w:r>
      </w:hyperlink>
    </w:p>
    <w:p>
      <w:pPr>
        <w:numPr>
          <w:ilvl w:val="0"/>
          <w:numId w:val="1010"/>
        </w:numPr>
      </w:pPr>
      <w:hyperlink r:id="rId55">
        <w:r>
          <w:rPr>
            <w:rStyle w:val="Hyperlink"/>
          </w:rPr>
          <w:t xml:space="preserve">British Dyslexic Association style guide</w:t>
        </w:r>
      </w:hyperlink>
    </w:p>
    <w:p>
      <w:pPr>
        <w:numPr>
          <w:ilvl w:val="0"/>
          <w:numId w:val="1010"/>
        </w:numPr>
      </w:pPr>
      <w:hyperlink r:id="rId56">
        <w:r>
          <w:rPr>
            <w:rStyle w:val="Hyperlink"/>
          </w:rPr>
          <w:t xml:space="preserve">London Mathematical Society: Mathematics and Accessibility</w:t>
        </w:r>
      </w:hyperlink>
    </w:p>
    <w:p>
      <w:pPr>
        <w:numPr>
          <w:ilvl w:val="0"/>
          <w:numId w:val="1010"/>
        </w:numPr>
      </w:pPr>
      <w:hyperlink r:id="rId57">
        <w:r>
          <w:rPr>
            <w:rStyle w:val="Hyperlink"/>
          </w:rPr>
          <w:t xml:space="preserve">Make Things Accessible: Accessible STEMM introduction</w:t>
        </w:r>
      </w:hyperlink>
    </w:p>
    <w:p>
      <w:pPr>
        <w:numPr>
          <w:ilvl w:val="0"/>
          <w:numId w:val="1010"/>
        </w:numPr>
      </w:pPr>
      <w:hyperlink r:id="rId58">
        <w:r>
          <w:rPr>
            <w:rStyle w:val="Hyperlink"/>
          </w:rPr>
          <w:t xml:space="preserve">Symbols guide - inspiration for ours!</w:t>
        </w:r>
      </w:hyperlink>
    </w:p>
    <w:bookmarkEnd w:id="59"/>
    <w:bookmarkEnd w:id="60"/>
    <w:bookmarkStart w:id="62" w:name="inspiration-station"/>
    <w:p>
      <w:pPr>
        <w:pStyle w:val="Heading1"/>
      </w:pPr>
      <w:r>
        <w:t xml:space="preserve">Inspiration station</w:t>
      </w:r>
    </w:p>
    <w:bookmarkStart w:id="61" w:name="question-words"/>
    <w:p>
      <w:pPr>
        <w:pStyle w:val="Heading2"/>
      </w:pPr>
      <w:r>
        <w:t xml:space="preserve">Question words</w:t>
      </w:r>
    </w:p>
    <w:p>
      <w:pPr>
        <w:pStyle w:val="FirstParagraph"/>
      </w:pPr>
      <w:r>
        <w:t xml:space="preserve">Question words</w:t>
      </w:r>
    </w:p>
    <w:p>
      <w:pPr>
        <w:numPr>
          <w:ilvl w:val="0"/>
          <w:numId w:val="1011"/>
        </w:numPr>
      </w:pPr>
      <w:r>
        <w:t xml:space="preserve">Prove that…</w:t>
      </w:r>
    </w:p>
    <w:p>
      <w:pPr>
        <w:numPr>
          <w:ilvl w:val="0"/>
          <w:numId w:val="1011"/>
        </w:numPr>
      </w:pPr>
      <w:r>
        <w:t xml:space="preserve">Verify that…</w:t>
      </w:r>
    </w:p>
    <w:p>
      <w:pPr>
        <w:numPr>
          <w:ilvl w:val="0"/>
          <w:numId w:val="1011"/>
        </w:numPr>
      </w:pPr>
      <w:r>
        <w:t xml:space="preserve">Evaluate…</w:t>
      </w:r>
    </w:p>
    <w:p>
      <w:pPr>
        <w:numPr>
          <w:ilvl w:val="0"/>
          <w:numId w:val="1011"/>
        </w:numPr>
      </w:pPr>
      <w:r>
        <w:t xml:space="preserve">Show that…</w:t>
      </w:r>
    </w:p>
    <w:p>
      <w:pPr>
        <w:numPr>
          <w:ilvl w:val="0"/>
          <w:numId w:val="1011"/>
        </w:numPr>
      </w:pPr>
      <w:r>
        <w:t xml:space="preserve">Calculate…</w:t>
      </w:r>
    </w:p>
    <w:p>
      <w:pPr>
        <w:numPr>
          <w:ilvl w:val="0"/>
          <w:numId w:val="1011"/>
        </w:numPr>
      </w:pPr>
      <w:r>
        <w:t xml:space="preserve">Find…</w:t>
      </w:r>
    </w:p>
    <w:p>
      <w:pPr>
        <w:numPr>
          <w:ilvl w:val="0"/>
          <w:numId w:val="1011"/>
        </w:numPr>
      </w:pPr>
      <w:r>
        <w:t xml:space="preserve">Exhibit…</w:t>
      </w:r>
    </w:p>
    <w:p>
      <w:pPr>
        <w:numPr>
          <w:ilvl w:val="0"/>
          <w:numId w:val="1011"/>
        </w:numPr>
      </w:pPr>
      <w:r>
        <w:t xml:space="preserve">Describe…</w:t>
      </w:r>
    </w:p>
    <w:p>
      <w:pPr>
        <w:numPr>
          <w:ilvl w:val="0"/>
          <w:numId w:val="1011"/>
        </w:numPr>
      </w:pPr>
      <w:r>
        <w:t xml:space="preserve">Sketch…</w:t>
      </w:r>
    </w:p>
    <w:p>
      <w:pPr>
        <w:numPr>
          <w:ilvl w:val="0"/>
          <w:numId w:val="1011"/>
        </w:numPr>
      </w:pPr>
      <w:r>
        <w:t xml:space="preserve">Compute…</w:t>
      </w:r>
    </w:p>
    <w:p>
      <w:pPr>
        <w:numPr>
          <w:ilvl w:val="0"/>
          <w:numId w:val="1011"/>
        </w:numPr>
      </w:pPr>
      <w:r>
        <w:t xml:space="preserve">Deduce…</w:t>
      </w:r>
    </w:p>
    <w:p>
      <w:pPr>
        <w:numPr>
          <w:ilvl w:val="0"/>
          <w:numId w:val="1011"/>
        </w:numPr>
      </w:pPr>
      <w:r>
        <w:t xml:space="preserve">Calculate…</w:t>
      </w:r>
    </w:p>
    <w:p>
      <w:pPr>
        <w:numPr>
          <w:ilvl w:val="0"/>
          <w:numId w:val="1011"/>
        </w:numPr>
      </w:pPr>
      <w:r>
        <w:t xml:space="preserve">Explain…</w:t>
      </w:r>
    </w:p>
    <w:p>
      <w:pPr>
        <w:numPr>
          <w:ilvl w:val="0"/>
          <w:numId w:val="1011"/>
        </w:numPr>
      </w:pPr>
      <w:r>
        <w:t xml:space="preserve">Justify…</w:t>
      </w:r>
    </w:p>
    <w:p>
      <w:pPr>
        <w:numPr>
          <w:ilvl w:val="0"/>
          <w:numId w:val="1011"/>
        </w:numPr>
      </w:pPr>
      <w:r>
        <w:t xml:space="preserve">Conclude…</w:t>
      </w:r>
    </w:p>
    <w:p>
      <w:pPr>
        <w:numPr>
          <w:ilvl w:val="0"/>
          <w:numId w:val="1011"/>
        </w:numPr>
      </w:pPr>
      <w:r>
        <w:t xml:space="preserve">Is this true? Or false?</w:t>
      </w:r>
    </w:p>
    <w:p>
      <w:pPr>
        <w:numPr>
          <w:ilvl w:val="0"/>
          <w:numId w:val="1011"/>
        </w:numPr>
      </w:pPr>
      <w:r>
        <w:t xml:space="preserve">Using X or otherwise…</w:t>
      </w:r>
    </w:p>
    <w:p>
      <w:pPr>
        <w:numPr>
          <w:ilvl w:val="0"/>
          <w:numId w:val="1011"/>
        </w:numPr>
      </w:pPr>
      <w:r>
        <w:t xml:space="preserve">Define…</w:t>
      </w:r>
    </w:p>
    <w:p>
      <w:pPr>
        <w:numPr>
          <w:ilvl w:val="0"/>
          <w:numId w:val="1011"/>
        </w:numPr>
      </w:pPr>
      <w:r>
        <w:t xml:space="preserve">State…</w:t>
      </w:r>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hyperlink" Id="rId55" Target="https://cdn.bdadyslexia.org.uk/uploads/documents/Advice/style-guide/BDA-Style-Guide-2023.pdf?v=1680514568" TargetMode="External" /><Relationship Type="http://schemas.openxmlformats.org/officeDocument/2006/relationships/hyperlink" Id="rId58"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4" Target="https://www.gov.uk/guidance/publishing-accessible-documents" TargetMode="External" /><Relationship Type="http://schemas.openxmlformats.org/officeDocument/2006/relationships/hyperlink" Id="rId56" Target="https://www.lms.ac.uk/policy/mathematics-and-accessibility" TargetMode="External" /><Relationship Type="http://schemas.openxmlformats.org/officeDocument/2006/relationships/hyperlink" Id="rId57"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5" Target="https://cdn.bdadyslexia.org.uk/uploads/documents/Advice/style-guide/BDA-Style-Guide-2023.pdf?v=1680514568" TargetMode="External" /><Relationship Type="http://schemas.openxmlformats.org/officeDocument/2006/relationships/hyperlink" Id="rId58"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4" Target="https://www.gov.uk/guidance/publishing-accessible-documents" TargetMode="External" /><Relationship Type="http://schemas.openxmlformats.org/officeDocument/2006/relationships/hyperlink" Id="rId56" Target="https://www.lms.ac.uk/policy/mathematics-and-accessibility" TargetMode="External" /><Relationship Type="http://schemas.openxmlformats.org/officeDocument/2006/relationships/hyperlink" Id="rId57"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2023-07-27T13:10:52Z</dcterms:created>
  <dcterms:modified xsi:type="dcterms:W3CDTF">2023-07-27T13:10:52Z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unfinished as of the initial commit on 26/05/23),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