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Introduction to rearranging equations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b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r>
              <m:t>4</m:t>
            </m:r>
            <m:r>
              <m:t>a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</m:t>
                </m:r>
              </m:den>
            </m:f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r>
              <m:t>16</m:t>
            </m:r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b</m:t>
            </m:r>
            <m:r>
              <m:t>c</m:t>
            </m:r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r>
              <m:t>c</m:t>
            </m:r>
            <m:r>
              <m:t>d</m:t>
            </m:r>
          </m:e>
        </m:ra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b</m:t>
                </m:r>
                <m:r>
                  <m:t>c</m:t>
                </m:r>
                <m:r>
                  <m:t>d</m:t>
                </m:r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l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m:oMath>
        <m:r>
          <m:t> 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y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f>
              <m:fPr>
                <m:type m:val="bar"/>
              </m:fPr>
              <m:num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5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a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w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rearrang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rearrang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rearranging equations</dc:title>
  <dc:creator>Shanelle Advani, Tom Coleman</dc:creator>
  <cp:keywords/>
  <dcterms:created xsi:type="dcterms:W3CDTF">2024-08-20T14:30:23Z</dcterms:created>
  <dcterms:modified xsi:type="dcterms:W3CDTF">2024-08-20T14:30:23Z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