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Cs/>
          <w:i/>
        </w:rPr>
        <w:t xml:space="preserve">Before reading this proof sheet, it is recommended that you read</w:t>
      </w:r>
      <w:r>
        <w:rPr>
          <w:iCs/>
          <w:i/>
        </w:rPr>
        <w:t xml:space="preserve"> </w:t>
      </w:r>
      <w:hyperlink r:id="rId20">
        <w:r>
          <w:rPr>
            <w:rStyle w:val="Hyperlink"/>
            <w:iCs/>
            <w:i/>
          </w:rPr>
          <w:t xml:space="preserve">Guide: The scalar product</w:t>
        </w:r>
      </w:hyperlink>
      <w:r>
        <w:rPr>
          <w:iCs/>
          <w:i/>
        </w:rPr>
        <w:t xml:space="preserve">. In addition, reading</w:t>
      </w:r>
      <w:r>
        <w:rPr>
          <w:iCs/>
          <w:i/>
        </w:rPr>
        <w:t xml:space="preserve"> </w:t>
      </w:r>
      <w:hyperlink r:id="rId21">
        <w:r>
          <w:rPr>
            <w:rStyle w:val="Hyperlink"/>
            <w:iCs/>
            <w:i/>
          </w:rPr>
          <w:t xml:space="preserve">Guide: Introduction to vectors</w:t>
        </w:r>
      </w:hyperlink>
      <w:r>
        <w:rPr>
          <w:iCs/>
          <w:i/>
        </w:rPr>
        <w:t xml:space="preserve"> </w:t>
      </w:r>
      <w:r>
        <w:rPr>
          <w:iCs/>
          <w:i/>
        </w:rPr>
        <w:t xml:space="preserve">and</w:t>
      </w:r>
      <w:r>
        <w:rPr>
          <w:iCs/>
          <w:i/>
        </w:rPr>
        <w:t xml:space="preserve"> </w:t>
      </w:r>
      <w:hyperlink r:id="rId22">
        <w:r>
          <w:rPr>
            <w:rStyle w:val="Hyperlink"/>
            <w:iCs/>
            <w:i/>
          </w:rPr>
          <w:t xml:space="preserve">Guide: Vector addition and scalar multiplication</w:t>
        </w:r>
      </w:hyperlink>
      <w:r>
        <w:rPr>
          <w:iCs/>
          <w:i/>
        </w:rPr>
        <w:t xml:space="preserve"> </w:t>
      </w:r>
      <w:r>
        <w:rPr>
          <w:iCs/>
          <w:i/>
        </w:rPr>
        <w:t xml:space="preserve">is essential, and reading either</w:t>
      </w:r>
      <w:r>
        <w:rPr>
          <w:iCs/>
          <w:i/>
        </w:rPr>
        <w:t xml:space="preserve"> </w:t>
      </w:r>
      <w:hyperlink r:id="rId23">
        <w:r>
          <w:rPr>
            <w:rStyle w:val="Hyperlink"/>
            <w:iCs/>
            <w:i/>
          </w:rPr>
          <w:t xml:space="preserve">Guide: Trigonometry (degrees)</w:t>
        </w:r>
      </w:hyperlink>
      <w:r>
        <w:rPr>
          <w:iCs/>
          <w:i/>
        </w:rPr>
        <w:t xml:space="preserve"> </w:t>
      </w:r>
      <w:r>
        <w:rPr>
          <w:iCs/>
          <w:i/>
        </w:rPr>
        <w:t xml:space="preserve">or</w:t>
      </w:r>
      <w:r>
        <w:rPr>
          <w:iCs/>
          <w:i/>
        </w:rPr>
        <w:t xml:space="preserve"> </w:t>
      </w:r>
      <w:hyperlink r:id="rId24">
        <w:r>
          <w:rPr>
            <w:rStyle w:val="Hyperlink"/>
            <w:iCs/>
            <w:i/>
          </w:rPr>
          <w:t xml:space="preserve">Guide: Trigonometry (radians)</w:t>
        </w:r>
      </w:hyperlink>
      <w:r>
        <w:rPr>
          <w:iCs/>
          <w:i/>
        </w:rPr>
        <w:t xml:space="preserve"> </w:t>
      </w:r>
      <w:r>
        <w:rPr>
          <w:iCs/>
          <w:i/>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1"/>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Cs/>
          <w:b/>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Drop a perpendicular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4"/>
          <w:p>
            <w:pPr>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8"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7"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2024-08-20T14:34:14Z</dcterms:created>
  <dcterms:modified xsi:type="dcterms:W3CDTF">2024-08-20T14:34:14Z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