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Krish</w:t>
      </w:r>
      <w:r>
        <w:t xml:space="preserve"> </w:t>
      </w:r>
      <w:r>
        <w:t xml:space="preserve">Chaudhary,</w:t>
      </w:r>
      <w:r>
        <w:t xml:space="preserve"> </w:t>
      </w:r>
      <w:r>
        <w:t xml:space="preserve">Tom</w:t>
      </w:r>
      <w:r>
        <w:t xml:space="preserve"> </w:t>
      </w:r>
      <w:r>
        <w:t xml:space="preserve">Coleman,</w:t>
      </w:r>
      <w:r>
        <w:t xml:space="preserve"> </w:t>
      </w: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Explanations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certain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are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(degrees)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or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Trigonometric identities (radians)</w:t>
        </w:r>
      </w:hyperlink>
      <w:r>
        <w:rPr>
          <w:i/>
          <w:iCs/>
        </w:rPr>
        <w:t xml:space="preserve">.</w:t>
      </w:r>
    </w:p>
    <w:bookmarkStart w:id="28" w:name="proof-of-pythagorean-identities"/>
    <w:p>
      <w:pPr>
        <w:pStyle w:val="Heading1"/>
      </w:pPr>
      <w:r>
        <w:t xml:space="preserve">Proof of Pythagorean identities</w:t>
      </w:r>
    </w:p>
    <w:p>
      <w:pPr>
        <w:pStyle w:val="FirstParagraph"/>
      </w:pPr>
      <w:r>
        <w:t xml:space="preserve">Remember from</w:t>
      </w:r>
      <w:r>
        <w:t xml:space="preserve"> </w:t>
      </w:r>
      <w:hyperlink r:id="rId20">
        <w:r>
          <w:rPr>
            <w:rStyle w:val="Hyperlink"/>
          </w:rPr>
          <w:t xml:space="preserve">Guide: Trigonometric identities (degrees)</w:t>
        </w:r>
      </w:hyperlink>
      <w:r>
        <w:t xml:space="preserve"> </w:t>
      </w:r>
      <w:r>
        <w:t xml:space="preserve">or</w:t>
      </w:r>
      <w:r>
        <w:t xml:space="preserve"> </w:t>
      </w:r>
      <w:hyperlink r:id="rId21">
        <w:r>
          <w:rPr>
            <w:rStyle w:val="Hyperlink"/>
          </w:rPr>
          <w:t xml:space="preserve">Guide: Trigonometric identities (radians)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Pythagorean identities</w:t>
      </w:r>
      <w:r>
        <w:t xml:space="preserve"> </w:t>
      </w:r>
      <w:r>
        <w:t xml:space="preserve">are:</w:t>
      </w:r>
    </w:p>
    <w:p>
      <w:pPr>
        <w:pStyle w:val="BodyText"/>
      </w:pP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Proof of</w:t>
            </w:r>
            <w:r>
              <w:rPr>
                <w:b/>
                <w:bCs/>
              </w:rP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+</m:t>
              </m:r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</w:p>
          <w:p>
            <w:pPr>
              <w:pStyle w:val="BodyText"/>
            </w:pPr>
            <w:pPr>
              <w:spacing w:before="16"/>
            </w:pPr>
            <w:r>
              <w:t xml:space="preserve">You know from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Guide: Trigonometry (degrees)</w:t>
              </w:r>
            </w:hyperlink>
            <w:r>
              <w:t xml:space="preserve"> </w:t>
            </w:r>
            <w:r>
              <w:t xml:space="preserve">or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Guide: Trigonometry (radians)</w:t>
              </w:r>
            </w:hyperlink>
            <w:r>
              <w:t xml:space="preserve"> </w:t>
            </w:r>
            <w:r>
              <w:t xml:space="preserve">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  <m:scr m:val="sans-serif"/>
                      </m:rPr>
                      <m:t>opposite</m:t>
                    </m:r>
                  </m:num>
                  <m:den>
                    <m:r>
                      <m:rPr>
                        <m:nor/>
                        <m:sty m:val="p"/>
                        <m:scr m:val="sans-serif"/>
                      </m:rPr>
                      <m:t>hypotenuse</m:t>
                    </m:r>
                  </m:den>
                </m:f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 and </m:t>
                </m:r>
                <m:r>
                  <m:t> 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  <m:scr m:val="sans-serif"/>
                      </m:rPr>
                      <m:t>adjacent</m:t>
                    </m:r>
                  </m:num>
                  <m:den>
                    <m:r>
                      <m:rPr>
                        <m:nor/>
                        <m:sty m:val="p"/>
                        <m:scr m:val="sans-serif"/>
                      </m:rPr>
                      <m:t>hypotenuse</m:t>
                    </m:r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You can shorten these to</w:t>
            </w:r>
            <w:r>
              <w:t xml:space="preserve"> </w:t>
            </w:r>
            <m:oMath>
              <m:r>
                <m:t>O</m:t>
              </m:r>
            </m:oMath>
            <w:r>
              <w:t xml:space="preserve"> </w:t>
            </w:r>
            <w:r>
              <w:t xml:space="preserve">for opposite,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for adjacent and</w:t>
            </w:r>
            <w:r>
              <w:t xml:space="preserve"> </w:t>
            </w:r>
            <m:oMath>
              <m:r>
                <m:t>H</m:t>
              </m:r>
            </m:oMath>
            <w:r>
              <w:t xml:space="preserve"> </w:t>
            </w:r>
            <w:r>
              <w:t xml:space="preserve">for hypotenuse. Rearranging gives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=</m:t>
              </m:r>
              <m:r>
                <m:t>H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O</m:t>
              </m:r>
              <m:r>
                <m:rPr>
                  <m:sty m:val="p"/>
                </m:rPr>
                <m:t>=</m:t>
              </m:r>
              <m:r>
                <m:t>H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From Pythagoras’ Theorem, you also know that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O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H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Replacing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O</m:t>
              </m:r>
            </m:oMath>
            <w:r>
              <w:t xml:space="preserve"> </w:t>
            </w:r>
            <w:r>
              <w:t xml:space="preserve">with the expressions above, you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H</m:t>
                        </m:r>
                        <m:r>
                          <m:rPr>
                            <m:sty m:val="p"/>
                          </m:rPr>
                          <m:t>cos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H</m:t>
                        </m:r>
                        <m:r>
                          <m:rPr>
                            <m:sty m:val="p"/>
                          </m:rPr>
                          <m:t>sin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Using the laws of indices (see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Guide: Laws of indices</w:t>
              </w:r>
            </w:hyperlink>
            <w:r>
              <w:t xml:space="preserve">), and using the standard notation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cos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sin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+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Divide everything by the non-zero</w:t>
            </w:r>
            <w:r>
              <w:t xml:space="preserve"> </w:t>
            </w:r>
            <m:oMath>
              <m:sSup>
                <m:e>
                  <m:r>
                    <m:t>H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to get: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p>
                      <m:e>
                        <m:r>
                          <m:rPr>
                            <m:sty m:val="p"/>
                          </m:rPr>
                          <m:t>cos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p>
                      <m:e>
                        <m:r>
                          <m:rPr>
                            <m:sty m:val="p"/>
                          </m:rPr>
                          <m:t>sin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Therefore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+</m:t>
              </m:r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</w:tc>
      </w:tr>
    </w:tbl>
    <w:bookmarkEnd w:id="28"/>
    <w:bookmarkStart w:id="29" w:name="proof-of-sum-identities"/>
    <w:p>
      <w:pPr>
        <w:pStyle w:val="Heading1"/>
      </w:pPr>
      <w:r>
        <w:t xml:space="preserve">Proof of sum identities</w:t>
      </w:r>
    </w:p>
    <w:bookmarkEnd w:id="29"/>
    <w:bookmarkStart w:id="32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0">
        <w:r>
          <w:rPr>
            <w:rStyle w:val="Hyperlink"/>
          </w:rPr>
          <w:t xml:space="preserve">Guide: Trigonometric identities (degrees)</w:t>
        </w:r>
      </w:hyperlink>
    </w:p>
    <w:p>
      <w:pPr>
        <w:pStyle w:val="BodyText"/>
      </w:pPr>
      <w:hyperlink r:id="rId30">
        <w:r>
          <w:rPr>
            <w:rStyle w:val="Hyperlink"/>
          </w:rPr>
          <w:t xml:space="preserve">Questions: Trigonometric identities (degrees)</w:t>
        </w:r>
      </w:hyperlink>
    </w:p>
    <w:bookmarkStart w:id="31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04/24 by tdhc.</w:t>
      </w:r>
    </w:p>
    <w:bookmarkEnd w:id="31"/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30" Target="../questions/qs-trigonometricidentities-degrees.qmd" TargetMode="External" /><Relationship Type="http://schemas.openxmlformats.org/officeDocument/2006/relationships/hyperlink" Id="rId27" Target="../studyguides/lawsofindic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1" Target="../studyguides/trigonometricidentities-radians.qmd" TargetMode="External" /><Relationship Type="http://schemas.openxmlformats.org/officeDocument/2006/relationships/hyperlink" Id="rId25" Target="../studyguides/trigonometry-degrees.qmd" TargetMode="External" /><Relationship Type="http://schemas.openxmlformats.org/officeDocument/2006/relationships/hyperlink" Id="rId26" Target="../studyguides/trigonometry-radian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../questions/qs-trigonometricidentities-degrees.qmd" TargetMode="External" /><Relationship Type="http://schemas.openxmlformats.org/officeDocument/2006/relationships/hyperlink" Id="rId27" Target="../studyguides/lawsofindic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1" Target="../studyguides/trigonometricidentities-radians.qmd" TargetMode="External" /><Relationship Type="http://schemas.openxmlformats.org/officeDocument/2006/relationships/hyperlink" Id="rId25" Target="../studyguides/trigonometry-degrees.qmd" TargetMode="External" /><Relationship Type="http://schemas.openxmlformats.org/officeDocument/2006/relationships/hyperlink" Id="rId26" Target="../studyguides/trigonometry-radian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Trigonometric identities</dc:title>
  <dc:creator>Shanelle Advani, Krish Chaudhary, Tom Coleman, Dzhemma Ruseva</dc:creator>
  <cp:keywords/>
  <dcterms:created xsi:type="dcterms:W3CDTF">2024-09-18T10:28:46Z</dcterms:created>
  <dcterms:modified xsi:type="dcterms:W3CDTF">2024-09-18T10:28:46Z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Explanations as to why certain trigonometric identities are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