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study</w:t>
      </w:r>
      <w:r>
        <w:t xml:space="preserve"> </w:t>
      </w:r>
      <w:r>
        <w:t xml:space="preserve">guides</w:t>
      </w:r>
    </w:p>
    <w:p>
      <w:pPr>
        <w:pStyle w:val="FirstParagraph"/>
      </w:pPr>
      <w:r>
        <w:t xml:space="preserve">Our study guides, written for students by students on a specific area of mathematics or statistics, can be found here.</w:t>
      </w:r>
    </w:p>
    <w:bookmarkStart w:id="20" w:name="contents"/>
    <w:bookmarkEnd w:id="2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study guides</dc:title>
  <dc:creator/>
  <cp:keywords/>
  <dcterms:created xsi:type="dcterms:W3CDTF">2024-10-25T13:36:29Z</dcterms:created>
  <dcterms:modified xsi:type="dcterms:W3CDTF">2024-10-25T13:36:29Z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