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 [Guide: Introduction to complex numbers] for dealing with square roots of negative numbers.</w:t>
      </w:r>
      <w:r>
        <w:rPr>
          <w:i/>
          <w:iCs/>
        </w:rPr>
        <w:t xml:space="preserve"> </w:t>
      </w:r>
    </w:p>
    <w:bookmarkStart w:id="23"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3"/>
    <w:bookmarkStart w:id="42"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1"/>
          <w:p>
            <w:pPr>
              <w:pStyle w:val="Compact"/>
              <w:jc w:val="center"/>
            </w:pPr>
            <w:r>
              <w:drawing>
                <wp:inline>
                  <wp:extent cx="5755521" cy="2581115"/>
                  <wp:effectExtent b="0" l="0" r="0" t="0"/>
                  <wp:docPr descr="" title="" id="28" name="Picture"/>
                  <a:graphic>
                    <a:graphicData uri="http://schemas.openxmlformats.org/drawingml/2006/picture">
                      <pic:pic>
                        <pic:nvPicPr>
                          <pic:cNvPr descr="./FiguresPNG/completingthesquare-fig1-1.png" id="29" name="Picture"/>
                          <pic:cNvPicPr>
                            <a:picLocks noChangeArrowheads="1" noChangeAspect="1"/>
                          </pic:cNvPicPr>
                        </pic:nvPicPr>
                        <pic:blipFill>
                          <a:blip r:embed="rId27"/>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0"/>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39">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2"/>
    <w:bookmarkStart w:id="54"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4"/>
    <w:bookmarkStart w:id="62"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 [Guide: Introduction to complex numbers]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 [Guide: Introduction to complex numbers])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tip.png" id="6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39">
              <w:r>
                <w:rPr>
                  <w:rStyle w:val="Hyperlink"/>
                </w:rPr>
                <w:t xml:space="preserve">Guide: Using the quadratic formula</w:t>
              </w:r>
            </w:hyperlink>
            <w:r>
              <w:t xml:space="preserve"> </w:t>
            </w:r>
            <w:r>
              <w:t xml:space="preserve">for more, and</w:t>
            </w:r>
            <w:r>
              <w:t xml:space="preserve"> </w:t>
            </w:r>
            <w:hyperlink r:id="rId61">
              <w:r>
                <w:rPr>
                  <w:rStyle w:val="Hyperlink"/>
                </w:rPr>
                <w:t xml:space="preserve">Proof: The quadratic formula</w:t>
              </w:r>
            </w:hyperlink>
            <w:r>
              <w:t xml:space="preserve"> </w:t>
            </w:r>
            <w:r>
              <w:t xml:space="preserve">for how it is done.</w:t>
            </w:r>
          </w:p>
        </w:tc>
      </w:tr>
    </w:tbl>
    <w:bookmarkEnd w:id="62"/>
    <w:bookmarkStart w:id="63"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Completing the square.</w:t>
        </w:r>
      </w:hyperlink>
    </w:p>
    <w:bookmarkStart w:id="66" w:name="version-history"/>
    <w:p>
      <w:pPr>
        <w:pStyle w:val="Heading2"/>
      </w:pPr>
      <w:r>
        <w:t xml:space="preserve">Version history</w:t>
      </w:r>
    </w:p>
    <w:p>
      <w:pPr>
        <w:pStyle w:val="FirstParagraph"/>
      </w:pPr>
      <w:r>
        <w:t xml:space="preserve">v1.0: initial version created 09/24 by tdhc.</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2024-09-18T10:27:26Z</dcterms:created>
  <dcterms:modified xsi:type="dcterms:W3CDTF">2024-09-18T10:27:26Z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FiguresPNG/completingthesquare-image.png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