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53.png" ContentType="image/png"/>
  <Override PartName="/word/media/rId57.png" ContentType="image/png"/>
  <Override PartName="/word/media/rId61.png" ContentType="image/png"/>
  <Override PartName="/word/media/rId2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quadratics,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3" w:name="initial-definitions-of-complex-numbers"/>
    <w:p>
      <w:pPr>
        <w:pStyle w:val="Heading1"/>
      </w:pPr>
      <w:r>
        <w:t xml:space="preserve">Initial definitions of complex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p>
            <w:pPr>
              <w:pStyle w:val="BodyText"/>
            </w:pPr>
            <w:pPr>
              <w:spacing w:after="16"/>
            </w:pPr>
            <w:r>
              <w:t xml:space="preserve">Sometimes the complex number 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There are some special kinds of complex numbers:</w:t>
      </w:r>
    </w:p>
    <w:p>
      <w:pPr>
        <w:numPr>
          <w:ilvl w:val="0"/>
          <w:numId w:val="1001"/>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1"/>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p>
      <w:pPr>
        <w:pStyle w:val="FirstParagraph"/>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tc>
      </w:tr>
    </w:tbl>
    <w:bookmarkEnd w:id="33"/>
    <w:bookmarkStart w:id="34" w:name="real-and-imaginary-parts"/>
    <w:p>
      <w:pPr>
        <w:pStyle w:val="Heading1"/>
      </w:pPr>
      <w:r>
        <w:t xml:space="preserve">Real and imaginary parts</w:t>
      </w:r>
    </w:p>
    <w:bookmarkEnd w:id="34"/>
    <w:bookmarkStart w:id="35" w:name="complex-conjugate"/>
    <w:p>
      <w:pPr>
        <w:pStyle w:val="Heading1"/>
      </w:pPr>
      <w:r>
        <w:t xml:space="preserve">Complex conjugate</w:t>
      </w:r>
    </w:p>
    <w:bookmarkEnd w:id="35"/>
    <w:bookmarkStart w:id="48" w:name="argand-diagrams"/>
    <w:p>
      <w:pPr>
        <w:pStyle w:val="Heading1"/>
      </w:pPr>
      <w:r>
        <w:t xml:space="preserve">Argand diagrams</w:t>
      </w:r>
    </w:p>
    <w:p>
      <w:pPr>
        <w:pStyle w:val="FirstParagraph"/>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39" w:name="fig-1"/>
          <w:p>
            <w:pPr>
              <w:pStyle w:val="Compact"/>
              <w:jc w:val="center"/>
            </w:pPr>
            <w:r>
              <w:drawing>
                <wp:inline>
                  <wp:extent cx="5755521" cy="2238597"/>
                  <wp:effectExtent b="0" l="0" r="0" t="0"/>
                  <wp:docPr descr="" title="" id="37" name="Picture"/>
                  <a:graphic>
                    <a:graphicData uri="http://schemas.openxmlformats.org/drawingml/2006/picture">
                      <pic:pic>
                        <pic:nvPicPr>
                          <pic:cNvPr descr="./FiguresPNG/introtoquadratics-fig1-1.png" id="38" name="Picture"/>
                          <pic:cNvPicPr>
                            <a:picLocks noChangeArrowheads="1" noChangeAspect="1"/>
                          </pic:cNvPicPr>
                        </pic:nvPicPr>
                        <pic:blipFill>
                          <a:blip r:embed="rId3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39"/>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x</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48"/>
    <w:bookmarkStart w:id="50"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2"/>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2"/>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 (Guide: Completing the square) for more.</w:t>
      </w:r>
    </w:p>
    <w:p>
      <w:pPr>
        <w:numPr>
          <w:ilvl w:val="0"/>
          <w:numId w:val="1002"/>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49">
        <w:r>
          <w:rPr>
            <w:rStyle w:val="Hyperlink"/>
          </w:rPr>
          <w:t xml:space="preserve">Guide: Using the quadratic formula</w:t>
        </w:r>
      </w:hyperlink>
      <w:r>
        <w:t xml:space="preserve"> </w:t>
      </w:r>
      <w:r>
        <w:t xml:space="preserve">for more.</w:t>
      </w:r>
    </w:p>
    <w:bookmarkEnd w:id="50"/>
    <w:bookmarkStart w:id="76"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56" w:name="fig-2"/>
          <w:p>
            <w:pPr>
              <w:pStyle w:val="Compact"/>
              <w:jc w:val="center"/>
            </w:pPr>
            <w:r>
              <w:drawing>
                <wp:inline>
                  <wp:extent cx="5755521" cy="2238597"/>
                  <wp:effectExtent b="0" l="0" r="0" t="0"/>
                  <wp:docPr descr="" title="" id="54" name="Picture"/>
                  <a:graphic>
                    <a:graphicData uri="http://schemas.openxmlformats.org/drawingml/2006/picture">
                      <pic:pic>
                        <pic:nvPicPr>
                          <pic:cNvPr descr="./FiguresPNG/introtoquadratics-fig2-2.png" id="55" name="Picture"/>
                          <pic:cNvPicPr>
                            <a:picLocks noChangeArrowheads="1" noChangeAspect="1"/>
                          </pic:cNvPicPr>
                        </pic:nvPicPr>
                        <pic:blipFill>
                          <a:blip r:embed="rId5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56"/>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60" w:name="fig-3"/>
          <w:p>
            <w:pPr>
              <w:pStyle w:val="Compact"/>
              <w:jc w:val="center"/>
            </w:pPr>
            <w:r>
              <w:drawing>
                <wp:inline>
                  <wp:extent cx="5755521" cy="2238597"/>
                  <wp:effectExtent b="0" l="0" r="0" t="0"/>
                  <wp:docPr descr="" title="" id="58" name="Picture"/>
                  <a:graphic>
                    <a:graphicData uri="http://schemas.openxmlformats.org/drawingml/2006/picture">
                      <pic:pic>
                        <pic:nvPicPr>
                          <pic:cNvPr descr="./FiguresPNG/introtoquadratics-fig3-3.png" id="59" name="Picture"/>
                          <pic:cNvPicPr>
                            <a:picLocks noChangeArrowheads="1" noChangeAspect="1"/>
                          </pic:cNvPicPr>
                        </pic:nvPicPr>
                        <pic:blipFill>
                          <a:blip r:embed="rId57"/>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60"/>
        </w:tc>
      </w:tr>
    </w:tbl>
    <w:p>
      <w:pPr>
        <w:pStyle w:val="Compact"/>
        <w:numPr>
          <w:ilvl w:val="0"/>
          <w:numId w:val="1005"/>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 (Guide: Introduction to complex numbers)).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64" w:name="fig-4"/>
          <w:p>
            <w:pPr>
              <w:pStyle w:val="Compact"/>
              <w:jc w:val="center"/>
            </w:pPr>
            <w:r>
              <w:drawing>
                <wp:inline>
                  <wp:extent cx="5755521" cy="2238597"/>
                  <wp:effectExtent b="0" l="0" r="0" t="0"/>
                  <wp:docPr descr="" title="" id="62" name="Picture"/>
                  <a:graphic>
                    <a:graphicData uri="http://schemas.openxmlformats.org/drawingml/2006/picture">
                      <pic:pic>
                        <pic:nvPicPr>
                          <pic:cNvPr descr="./FiguresPNG/introtoquadratics-fig4-4.png" id="63" name="Picture"/>
                          <pic:cNvPicPr>
                            <a:picLocks noChangeArrowheads="1" noChangeAspect="1"/>
                          </pic:cNvPicPr>
                        </pic:nvPicPr>
                        <pic:blipFill>
                          <a:blip r:embed="rId61"/>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64"/>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warning.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76"/>
    <w:bookmarkStart w:id="77" w:name="quick-check-problems"/>
    <w:p>
      <w:pPr>
        <w:pStyle w:val="Heading1"/>
      </w:pPr>
      <w:r>
        <w:t xml:space="preserve">Quick check problems</w:t>
      </w:r>
    </w:p>
    <w:p>
      <w:pPr>
        <w:numPr>
          <w:ilvl w:val="0"/>
          <w:numId w:val="1006"/>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6"/>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6"/>
        </w:numPr>
      </w:pPr>
      <w:r>
        <w:t xml:space="preserve">You are given three statements below. Decide whether they are true or false.</w:t>
      </w:r>
    </w:p>
    <w:p>
      <w:pPr>
        <w:numPr>
          <w:ilvl w:val="0"/>
          <w:numId w:val="1007"/>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7"/>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7"/>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77"/>
    <w:bookmarkStart w:id="81" w:name="further-reading"/>
    <w:p>
      <w:pPr>
        <w:pStyle w:val="Heading1"/>
      </w:pPr>
      <w:r>
        <w:t xml:space="preserve">Further reading</w:t>
      </w:r>
    </w:p>
    <w:p>
      <w:pPr>
        <w:pStyle w:val="FirstParagraph"/>
      </w:pPr>
      <w:hyperlink r:id="rId78">
        <w:r>
          <w:rPr>
            <w:rStyle w:val="Hyperlink"/>
          </w:rPr>
          <w:t xml:space="preserve">For more questions on the subject, please go to Questions: Introduction to complex numbers.</w:t>
        </w:r>
      </w:hyperlink>
    </w:p>
    <w:p>
      <w:pPr>
        <w:pStyle w:val="BodyText"/>
      </w:pPr>
      <w:r>
        <w:t xml:space="preserve">[For how to add, subtract, multiply, and divide complex numbers, please go to Guide: Arithmetic on complex numbers.]</w:t>
      </w:r>
    </w:p>
    <w:bookmarkStart w:id="80" w:name="version-history"/>
    <w:p>
      <w:pPr>
        <w:pStyle w:val="Heading2"/>
      </w:pPr>
      <w:r>
        <w:t xml:space="preserve">Version history</w:t>
      </w:r>
    </w:p>
    <w:p>
      <w:pPr>
        <w:pStyle w:val="FirstParagraph"/>
      </w:pPr>
      <w:r>
        <w:t xml:space="preserve">v1.0: initial version created 09/24 by tdhc.</w:t>
      </w:r>
    </w:p>
    <w:p>
      <w:pPr>
        <w:pStyle w:val="BodyText"/>
      </w:pPr>
      <w:hyperlink r:id="rId79">
        <w:r>
          <w:rPr>
            <w:rStyle w:val="Hyperlink"/>
          </w:rPr>
          <w:t xml:space="preserve">This work is licensed under CC BY-NC-SA 4.0.</w:t>
        </w:r>
      </w:hyperlink>
    </w:p>
    <w:bookmarkEnd w:id="80"/>
    <w:bookmarkEnd w:id="8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65" Target="media/rId65.png" /><Relationship Type="http://schemas.openxmlformats.org/officeDocument/2006/relationships/hyperlink" Id="rId78" Target="../questions/qs-introtocomplexnumbers.qmd" TargetMode="External" /><Relationship Type="http://schemas.openxmlformats.org/officeDocument/2006/relationships/hyperlink" Id="rId79"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4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78" Target="../questions/qs-introtocomplexnumbers.qmd" TargetMode="External" /><Relationship Type="http://schemas.openxmlformats.org/officeDocument/2006/relationships/hyperlink" Id="rId79"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4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2024-09-18T11:56:06Z</dcterms:created>
  <dcterms:modified xsi:type="dcterms:W3CDTF">2024-09-18T11:56:06Z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draft">
    <vt:lpwstr>True</vt:lpwstr>
  </property>
  <property fmtid="{D5CDD505-2E9C-101B-9397-08002B2CF9AE}" pid="10" name="header-includes">
    <vt:lpwstr/>
  </property>
  <property fmtid="{D5CDD505-2E9C-101B-9397-08002B2CF9AE}" pid="11" name="image">
    <vt:lpwstr>FiguresPNG/introtoquadratics-image.png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