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0.png" ContentType="image/png"/>
  <Override PartName="/word/media/rId44.png" ContentType="image/png"/>
  <Override PartName="/word/media/rId48.png" ContentType="image/png"/>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Cs/>
          <w:i/>
        </w:rPr>
        <w:t xml:space="preserve">Before reading this guide, it is recommended that you read (Guide: Introduction to complex numbers).</w:t>
      </w:r>
    </w:p>
    <w:bookmarkStart w:id="35"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Cs/>
                <w:b/>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Cs/>
                <w:b/>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Cs/>
          <w:b/>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ook w:firstRow="0" w:lastRow="0" w:firstColumn="0" w:lastColumn="0" w:noHBand="0" w:noVBand="0" w:val="0000"/>
        <w:jc w:val="start"/>
      </w:tblPr>
      <w:tblGrid>
        <w:gridCol w:w="7920"/>
      </w:tblGrid>
      <w:tr>
        <w:tc>
          <w:tcPr/>
          <w:bookmarkStart w:id="26" w:name="fig-1"/>
          <w:p>
            <w:pPr>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7"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Cs/>
          <w:b/>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Cs/>
          <w:b/>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Cs/>
          <w:b/>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recommended that if you are not sure which method is best, then the quadratic formula is the one to choose. See</w:t>
      </w:r>
      <w:r>
        <w:t xml:space="preserve"> </w:t>
      </w:r>
      <w:hyperlink r:id="rId36">
        <w:r>
          <w:rPr>
            <w:rStyle w:val="Hyperlink"/>
          </w:rPr>
          <w:t xml:space="preserve">Guide: Using the quadratic formula</w:t>
        </w:r>
      </w:hyperlink>
      <w:r>
        <w:t xml:space="preserve"> </w:t>
      </w:r>
      <w:r>
        <w:t xml:space="preserve">for more.</w:t>
      </w:r>
    </w:p>
    <w:bookmarkEnd w:id="37"/>
    <w:bookmarkStart w:id="63"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Cs/>
                <w:b/>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numPr>
          <w:ilvl w:val="0"/>
          <w:numId w:val="1002"/>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1"/>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1"/>
                </m:radPr>
                <m:deg/>
                <m:e>
                  <m:r>
                    <m:t>D</m:t>
                  </m:r>
                </m:e>
              </m:rad>
            </m:num>
            <m:den>
              <m:r>
                <m:t>2</m:t>
              </m:r>
              <m:r>
                <m:t>a</m:t>
              </m:r>
            </m:den>
          </m:f>
        </m:oMath>
      </m:oMathPara>
    </w:p>
    <w:p>
      <w:pPr>
        <w:numPr>
          <w:ilvl w:val="0"/>
          <w:numId w:val="1000"/>
        </w:numPr>
        <w:pStyle w:val="Compact"/>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ook w:firstRow="0" w:lastRow="0" w:firstColumn="0" w:lastColumn="0" w:noHBand="0" w:noVBand="0" w:val="0000"/>
        <w:jc w:val="start"/>
      </w:tblPr>
      <w:tblGrid>
        <w:gridCol w:w="7920"/>
      </w:tblGrid>
      <w:tr>
        <w:tc>
          <w:tcPr/>
          <w:bookmarkStart w:id="43" w:name="fig-2"/>
          <w:p>
            <w:pPr>
              <w:jc w:val="center"/>
            </w:pPr>
            <w:r>
              <w:drawing>
                <wp:inline>
                  <wp:extent cx="5755521" cy="2238597"/>
                  <wp:effectExtent b="0" l="0" r="0" t="0"/>
                  <wp:docPr descr="" title="" id="41" name="Picture"/>
                  <a:graphic>
                    <a:graphicData uri="http://schemas.openxmlformats.org/drawingml/2006/picture">
                      <pic:pic>
                        <pic:nvPicPr>
                          <pic:cNvPr descr="./FiguresPNG/introtoquadratics-fig2-2.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3"/>
        </w:tc>
      </w:tr>
    </w:tbl>
    <w:p>
      <w:pPr>
        <w:numPr>
          <w:ilvl w:val="0"/>
          <w:numId w:val="1003"/>
        </w:numPr>
        <w:pStyle w:val="Compact"/>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1"/>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numPr>
          <w:ilvl w:val="0"/>
          <w:numId w:val="1000"/>
        </w:numPr>
        <w:pStyle w:val="Compact"/>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ook w:firstRow="0" w:lastRow="0" w:firstColumn="0" w:lastColumn="0" w:noHBand="0" w:noVBand="0" w:val="0000"/>
        <w:jc w:val="start"/>
      </w:tblPr>
      <w:tblGrid>
        <w:gridCol w:w="7920"/>
      </w:tblGrid>
      <w:tr>
        <w:tc>
          <w:tcPr/>
          <w:bookmarkStart w:id="47" w:name="fig-3"/>
          <w:p>
            <w:pPr>
              <w:jc w:val="center"/>
            </w:pPr>
            <w:r>
              <w:drawing>
                <wp:inline>
                  <wp:extent cx="5755521" cy="2238597"/>
                  <wp:effectExtent b="0" l="0" r="0" t="0"/>
                  <wp:docPr descr="" title="" id="45" name="Picture"/>
                  <a:graphic>
                    <a:graphicData uri="http://schemas.openxmlformats.org/drawingml/2006/picture">
                      <pic:pic>
                        <pic:nvPicPr>
                          <pic:cNvPr descr="./FiguresPNG/introtoquadratics-fig3-3.png" id="46" name="Picture"/>
                          <pic:cNvPicPr>
                            <a:picLocks noChangeArrowheads="1" noChangeAspect="1"/>
                          </pic:cNvPicPr>
                        </pic:nvPicPr>
                        <pic:blipFill>
                          <a:blip r:embed="rId4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7"/>
        </w:tc>
      </w:tr>
    </w:tbl>
    <w:p>
      <w:pPr>
        <w:numPr>
          <w:ilvl w:val="0"/>
          <w:numId w:val="1004"/>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1"/>
          </m:radPr>
          <m:deg/>
          <m:e>
            <m:r>
              <m:t>D</m:t>
            </m:r>
          </m:e>
        </m:rad>
      </m:oMath>
      <w:r>
        <w:t xml:space="preserve"> </w:t>
      </w:r>
      <w:r>
        <w:t xml:space="preserve">is not a real number. In this case, the two roots of the quadratic equation are</w:t>
      </w:r>
      <w:r>
        <w:t xml:space="preserve"> </w:t>
      </w:r>
      <w:r>
        <w:rPr>
          <w:bCs/>
          <w:b/>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oMath>
      </m:oMathPara>
    </w:p>
    <w:p>
      <w:pPr>
        <w:numPr>
          <w:ilvl w:val="0"/>
          <w:numId w:val="1000"/>
        </w:numPr>
        <w:pStyle w:val="Compact"/>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ook w:firstRow="0" w:lastRow="0" w:firstColumn="0" w:lastColumn="0" w:noHBand="0" w:noVBand="0" w:val="0000"/>
        <w:jc w:val="start"/>
      </w:tblPr>
      <w:tblGrid>
        <w:gridCol w:w="7920"/>
      </w:tblGrid>
      <w:tr>
        <w:tc>
          <w:tcPr/>
          <w:bookmarkStart w:id="51" w:name="fig-4"/>
          <w:p>
            <w:pPr>
              <w:jc w:val="center"/>
            </w:pPr>
            <w:r>
              <w:drawing>
                <wp:inline>
                  <wp:extent cx="5755521" cy="2238597"/>
                  <wp:effectExtent b="0" l="0" r="0" t="0"/>
                  <wp:docPr descr="" title="" id="49" name="Picture"/>
                  <a:graphic>
                    <a:graphicData uri="http://schemas.openxmlformats.org/drawingml/2006/picture">
                      <pic:pic>
                        <pic:nvPicPr>
                          <pic:cNvPr descr="./FiguresPNG/introtoquadratics-fig4-4.png" id="50" name="Picture"/>
                          <pic:cNvPicPr>
                            <a:picLocks noChangeArrowheads="1" noChangeAspect="1"/>
                          </pic:cNvPicPr>
                        </pic:nvPicPr>
                        <pic:blipFill>
                          <a:blip r:embed="rId4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warning.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1"/>
                </m:radPr>
                <m:deg/>
                <m:e>
                  <m:r>
                    <m:t>r</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3"/>
    <w:bookmarkStart w:id="65"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p>
      <w:pPr>
        <w:pStyle w:val="FirstParagraph"/>
      </w:pPr>
      <w:hyperlink r:id="rId64">
        <w:r>
          <w:rPr>
            <w:rStyle w:val="Hyperlink"/>
          </w:rPr>
          <w:t xml:space="preserve">For more questions on the subject, please go to Questions: Introduction to quadratic equations.</w:t>
        </w:r>
      </w:hyperlink>
    </w:p>
    <w:bookmarkEnd w:id="65"/>
    <w:bookmarkStart w:id="68" w:name="further-reading"/>
    <w:p>
      <w:pPr>
        <w:pStyle w:val="Heading1"/>
      </w:pPr>
      <w:r>
        <w:t xml:space="preserve">Further reading</w:t>
      </w:r>
    </w:p>
    <w:p>
      <w:pPr>
        <w:pStyle w:val="FirstParagraph"/>
      </w:pPr>
      <w:hyperlink r:id="rId36">
        <w:r>
          <w:rPr>
            <w:rStyle w:val="Hyperlink"/>
          </w:rPr>
          <w:t xml:space="preserve">For a way to solve quadratic equations, please see Guide: Using the quadratic formula.</w:t>
        </w:r>
      </w:hyperlink>
    </w:p>
    <w:bookmarkStart w:id="67" w:name="version-history"/>
    <w:p>
      <w:pPr>
        <w:pStyle w:val="Heading2"/>
      </w:pPr>
      <w:r>
        <w:t xml:space="preserve">Version history</w:t>
      </w:r>
    </w:p>
    <w:p>
      <w:pPr>
        <w:pStyle w:val="FirstParagraph"/>
      </w:pPr>
      <w:r>
        <w:t xml:space="preserve">v1.0: initial version created 06/23 by tdhc.</w:t>
      </w:r>
    </w:p>
    <w:p>
      <w:pPr>
        <w:numPr>
          <w:ilvl w:val="0"/>
          <w:numId w:val="1007"/>
        </w:numPr>
        <w:pStyle w:val="Compact"/>
      </w:pPr>
      <w:r>
        <w:t xml:space="preserve">v1.1: edited 04/24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64" Target="../questions/qs-introtoquadratics.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36"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introtoquadratics.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36"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2024-08-25T10:53:00Z</dcterms:created>
  <dcterms:modified xsi:type="dcterms:W3CDTF">2024-08-25T10:53:00Z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