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Cs/>
          <w:b/>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Cs/>
          <w:b/>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Cs/>
          <w:b/>
        </w:rPr>
        <w:t xml:space="preserve">rearranging for</w:t>
      </w:r>
      <w:r>
        <w:rPr>
          <w:bCs/>
          <w:b/>
        </w:rPr>
        <w:t xml:space="preserve"> </w:t>
      </w:r>
      <m:oMath>
        <m:r>
          <m:t>x</m:t>
        </m:r>
      </m:oMath>
      <w:r>
        <w:t xml:space="preserve"> </w:t>
      </w:r>
      <w:r>
        <w:t xml:space="preserve">or</w:t>
      </w:r>
      <w:r>
        <w:t xml:space="preserve"> </w:t>
      </w:r>
      <w:r>
        <w:rPr>
          <w:bCs/>
          <w:b/>
        </w:rPr>
        <w:t xml:space="preserve">making</w:t>
      </w:r>
      <w:r>
        <w:rPr>
          <w:bCs/>
          <w:b/>
        </w:rPr>
        <w:t xml:space="preserve"> </w:t>
      </w:r>
      <m:oMath>
        <m:r>
          <m:t>x</m:t>
        </m:r>
      </m:oMath>
      <w:r>
        <w:rPr>
          <w:bCs/>
          <w:b/>
        </w:rPr>
        <w:t xml:space="preserve"> </w:t>
      </w:r>
      <w:r>
        <w:rPr>
          <w:bCs/>
          <w:b/>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numPr>
          <w:ilvl w:val="0"/>
          <w:numId w:val="1001"/>
        </w:numPr>
        <w:pStyle w:val="Compact"/>
      </w:pPr>
      <w:r>
        <w:t xml:space="preserve">addition and subtraction</w:t>
      </w:r>
    </w:p>
    <w:p>
      <w:pPr>
        <w:numPr>
          <w:ilvl w:val="0"/>
          <w:numId w:val="1001"/>
        </w:numPr>
        <w:pStyle w:val="Compact"/>
      </w:pPr>
      <w:r>
        <w:t xml:space="preserve">multiplication and division</w:t>
      </w:r>
    </w:p>
    <w:p>
      <w:pPr>
        <w:numPr>
          <w:ilvl w:val="0"/>
          <w:numId w:val="1001"/>
        </w:numPr>
        <w:pStyle w:val="Compact"/>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numPr>
          <w:ilvl w:val="0"/>
          <w:numId w:val="1002"/>
        </w:numPr>
        <w:pStyle w:val="Compact"/>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numPr>
          <w:ilvl w:val="0"/>
          <w:numId w:val="1002"/>
        </w:numPr>
        <w:pStyle w:val="Compact"/>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numPr>
          <w:ilvl w:val="0"/>
          <w:numId w:val="1002"/>
        </w:numPr>
        <w:pStyle w:val="Compact"/>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Cs/>
          <w:i/>
        </w:rPr>
        <w:t xml:space="preserve">order</w:t>
      </w:r>
      <w:r>
        <w:t xml:space="preserve"> </w:t>
      </w:r>
      <w:r>
        <w:t xml:space="preserve">of undoing these operations is often critical. Addition, subtraction, multiplication and division involve</w:t>
      </w:r>
      <w:r>
        <w:t xml:space="preserve"> </w:t>
      </w:r>
      <w:r>
        <w:rPr>
          <w:bCs/>
          <w:b/>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Cs/>
          <w:b/>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Cs/>
                <w:i/>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Cs/>
                <w:b/>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Cs/>
                <w:b/>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Cs/>
                <w:i/>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Cs/>
                <w:b/>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Cs/>
          <w:i/>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1"/>
          </m:radPr>
          <m:deg/>
          <m:e>
            <m:r>
              <m:t> </m:t>
            </m:r>
          </m:e>
        </m:rad>
      </m:oMath>
      <w:r>
        <w:t xml:space="preserve">, but</w:t>
      </w:r>
      <w:r>
        <w:t xml:space="preserve"> </w:t>
      </w:r>
      <m:oMath>
        <m:r>
          <m:t>x</m:t>
        </m:r>
        <m:r>
          <m:rPr>
            <m:sty m:val="p"/>
          </m:rPr>
          <m:t>=</m:t>
        </m:r>
        <m:rad>
          <m:radPr>
            <m:degHide m:val="1"/>
          </m:radPr>
          <m:deg/>
          <m:e>
            <m:r>
              <m:t>9</m:t>
            </m:r>
          </m:e>
        </m:rad>
      </m:oMath>
      <w:r>
        <w:t xml:space="preserve"> </w:t>
      </w:r>
      <w:r>
        <w:t xml:space="preserve">can’t be two solutions at once. To get around this, you could define the square root symbol to</w:t>
      </w:r>
      <w:r>
        <w:t xml:space="preserve"> </w:t>
      </w:r>
      <w:r>
        <w:rPr>
          <w:bCs/>
          <w:b/>
        </w:rPr>
        <w:t xml:space="preserve">always</w:t>
      </w:r>
      <w:r>
        <w:t xml:space="preserve"> </w:t>
      </w:r>
      <w:r>
        <w:t xml:space="preserve">mean the</w:t>
      </w:r>
      <w:r>
        <w:t xml:space="preserve"> </w:t>
      </w:r>
      <w:r>
        <w:rPr>
          <w:iCs/>
          <w:i/>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 you can write</w:t>
      </w:r>
      <w:r>
        <w:t xml:space="preserve"> </w:t>
      </w:r>
      <m:oMath>
        <m:r>
          <m:t>x</m:t>
        </m:r>
        <m:r>
          <m:rPr>
            <m:sty m:val="p"/>
          </m:rPr>
          <m:t>=</m:t>
        </m:r>
        <m:r>
          <m:rPr>
            <m:sty m:val="p"/>
          </m:rPr>
          <m:t>±</m:t>
        </m:r>
        <m:rad>
          <m:radPr>
            <m:degHide m:val="1"/>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take the square root of a negative number.</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Cs/>
          <w:i/>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Cs/>
          <w:i/>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1"/>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Cs/>
                <w:b/>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Cs/>
                <w:i/>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1"/>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1"/>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7"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6" w:name="version-history"/>
    <w:p>
      <w:pPr>
        <w:pStyle w:val="Heading2"/>
      </w:pPr>
      <w:r>
        <w:t xml:space="preserve">Version history</w:t>
      </w:r>
    </w:p>
    <w:p>
      <w:pPr>
        <w:pStyle w:val="FirstParagraph"/>
      </w:pPr>
      <w:r>
        <w:t xml:space="preserve">v1.0: initial version created 08/23 by Shanelle Advani and Ciara Cormican as part of a University of St Andrews STEP project.</w:t>
      </w:r>
    </w:p>
    <w:p>
      <w:pPr>
        <w:numPr>
          <w:ilvl w:val="0"/>
          <w:numId w:val="1006"/>
        </w:numPr>
        <w:pStyle w:val="Compact"/>
      </w:pPr>
      <w:r>
        <w:t xml:space="preserve">v1.1: edited 06/24 by tdhc.</w:t>
      </w:r>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2024-08-20T14:57:04Z</dcterms:created>
  <dcterms:modified xsi:type="dcterms:W3CDTF">2024-08-20T14:57:04Z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FiguresPNG/introtorearrange-image.png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