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Cs/>
          <w:i/>
        </w:rPr>
        <w:t xml:space="preserve">Before reading this guide, it is highly recommended that you read</w:t>
      </w:r>
      <w:r>
        <w:rPr>
          <w:iCs/>
          <w:i/>
        </w:rPr>
        <w:t xml:space="preserve"> </w:t>
      </w:r>
      <w:hyperlink r:id="rId20">
        <w:r>
          <w:rPr>
            <w:rStyle w:val="Hyperlink"/>
            <w:iCs/>
            <w:i/>
          </w:rPr>
          <w:t xml:space="preserve">Guide: Introduction to quadratic equations</w:t>
        </w:r>
      </w:hyperlink>
      <w:r>
        <w:rPr>
          <w:iCs/>
          <w:i/>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Cs/>
          <w:b/>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Cs/>
          <w:b/>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1"/>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1"/>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(BLURB)</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1"/>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1"/>
                      </m:radPr>
                      <m:deg/>
                      <m:e>
                        <m:r>
                          <m:t>25</m:t>
                        </m:r>
                        <m:r>
                          <m:rPr>
                            <m:sty m:val="p"/>
                          </m:rPr>
                          <m:t>−</m:t>
                        </m:r>
                        <m:r>
                          <m:t>24</m:t>
                        </m:r>
                      </m:e>
                    </m:rad>
                  </m:num>
                  <m:den>
                    <m:r>
                      <m:t>2</m:t>
                    </m:r>
                  </m:den>
                </m:f>
                <m:r>
                  <m:rPr>
                    <m:sty m:val="p"/>
                  </m:rPr>
                  <m:t>=</m:t>
                </m:r>
                <m:f>
                  <m:fPr>
                    <m:type m:val="bar"/>
                  </m:fPr>
                  <m:num>
                    <m:r>
                      <m:t>5</m:t>
                    </m:r>
                    <m:r>
                      <m:rPr>
                        <m:sty m:val="p"/>
                      </m:rPr>
                      <m:t>±</m:t>
                    </m:r>
                    <m:rad>
                      <m:radPr>
                        <m:degHide m:val="1"/>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1"/>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1"/>
                      </m:radPr>
                      <m:deg/>
                      <m:e>
                        <m:r>
                          <m:t>64</m:t>
                        </m:r>
                        <m:r>
                          <m:rPr>
                            <m:sty m:val="p"/>
                          </m:rPr>
                          <m:t>−</m:t>
                        </m:r>
                        <m:r>
                          <m:t>64</m:t>
                        </m:r>
                      </m:e>
                    </m:rad>
                  </m:num>
                  <m:den>
                    <m:r>
                      <m:t>2</m:t>
                    </m:r>
                  </m:den>
                </m:f>
                <m:r>
                  <m:rPr>
                    <m:sty m:val="p"/>
                  </m:rPr>
                  <m:t>=</m:t>
                </m:r>
                <m:f>
                  <m:fPr>
                    <m:type m:val="bar"/>
                  </m:fPr>
                  <m:num>
                    <m:r>
                      <m:rPr>
                        <m:sty m:val="p"/>
                      </m:rPr>
                      <m:t>−</m:t>
                    </m:r>
                    <m:r>
                      <m:t>8</m:t>
                    </m:r>
                    <m:r>
                      <m:rPr>
                        <m:sty m:val="p"/>
                      </m:rPr>
                      <m:t>±</m:t>
                    </m:r>
                    <m:rad>
                      <m:radPr>
                        <m:degHide m:val="1"/>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1"/>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1"/>
                      </m:radPr>
                      <m:deg/>
                      <m:e>
                        <m:r>
                          <m:t>16</m:t>
                        </m:r>
                        <m:r>
                          <m:rPr>
                            <m:sty m:val="p"/>
                          </m:rPr>
                          <m:t>−</m:t>
                        </m:r>
                        <m:r>
                          <m:t>80</m:t>
                        </m:r>
                      </m:e>
                    </m:rad>
                  </m:num>
                  <m:den>
                    <m:r>
                      <m:t>8</m:t>
                    </m:r>
                  </m:den>
                </m:f>
                <m:r>
                  <m:rPr>
                    <m:sty m:val="p"/>
                  </m:rPr>
                  <m:t>=</m:t>
                </m:r>
                <m:f>
                  <m:fPr>
                    <m:type m:val="bar"/>
                  </m:fPr>
                  <m:num>
                    <m:r>
                      <m:rPr>
                        <m:sty m:val="p"/>
                      </m:rPr>
                      <m:t>−</m:t>
                    </m:r>
                    <m:r>
                      <m:t>4</m:t>
                    </m:r>
                    <m:r>
                      <m:rPr>
                        <m:sty m:val="p"/>
                      </m:rPr>
                      <m:t>±</m:t>
                    </m:r>
                    <m:rad>
                      <m:radPr>
                        <m:degHide m:val="1"/>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1"/>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1"/>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1"/>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1"/>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1"/>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1"/>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1"/>
                    </m:radPr>
                    <m:deg/>
                    <m:e>
                      <m:r>
                        <m:t>5</m:t>
                      </m:r>
                    </m:e>
                  </m:rad>
                </m:e>
              </m:d>
              <m:r>
                <m:rPr>
                  <m:sty m:val="p"/>
                </m:rPr>
                <m:t>/</m:t>
              </m:r>
              <m:r>
                <m:t>2</m:t>
              </m:r>
            </m:oMath>
            <w:r>
              <w:t xml:space="preserve">. (The second of these is a well-known mathematical constant known as the</w:t>
            </w:r>
            <w:r>
              <w:t xml:space="preserve"> </w:t>
            </w:r>
            <w:hyperlink r:id="rId35">
              <w:r>
                <w:rPr>
                  <w:rStyle w:val="Hyperlink"/>
                  <w:bCs/>
                  <w:b/>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Cs/>
                <w:i/>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1"/>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1"/>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Cs/>
                <w:i/>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1"/>
                </m:radPr>
                <m:deg/>
                <m:e>
                  <m:r>
                    <m:t>2</m:t>
                  </m:r>
                </m:e>
              </m:rad>
              <m:r>
                <m:rPr>
                  <m:sty m:val="p"/>
                </m:rPr>
                <m:t>,</m:t>
              </m:r>
              <m:r>
                <m:rPr>
                  <m:sty m:val="p"/>
                </m:rPr>
                <m:t>−</m:t>
              </m:r>
              <m:rad>
                <m:radPr>
                  <m:degHide m:val="1"/>
                </m:radPr>
                <m:deg/>
                <m:e>
                  <m:r>
                    <m:t>2</m:t>
                  </m:r>
                </m:e>
              </m:rad>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1"/>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1"/>
                      </m:radPr>
                      <m:deg/>
                      <m:e>
                        <m:r>
                          <m:t>5</m:t>
                        </m:r>
                      </m:e>
                    </m:rad>
                  </m:num>
                  <m:den>
                    <m:r>
                      <m:t>4</m:t>
                    </m:r>
                  </m:den>
                </m:f>
                <m:r>
                  <m:rPr>
                    <m:sty m:val="p"/>
                  </m:rPr>
                  <m:t>=</m:t>
                </m:r>
                <m:r>
                  <m:rPr>
                    <m:sty m:val="p"/>
                  </m:rPr>
                  <m:t>−</m:t>
                </m:r>
                <m:r>
                  <m:t>1</m:t>
                </m:r>
                <m:r>
                  <m:rPr>
                    <m:sty m:val="p"/>
                  </m:rPr>
                  <m:t>±</m:t>
                </m:r>
                <m:rad>
                  <m:radPr>
                    <m:degHide m:val="1"/>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1"/>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1"/>
                </m:radPr>
                <m:deg/>
                <m:e>
                  <m:r>
                    <m:t>5</m:t>
                  </m:r>
                </m:e>
              </m:rad>
            </m:oMath>
            <w:r>
              <w:t xml:space="preserve"> </w:t>
            </w:r>
            <w:r>
              <w:t xml:space="preserve">are the two distinct real roots as promised.</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1"/>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1"/>
                </m:radPr>
                <m:deg/>
                <m:e>
                  <m:r>
                    <m:t>5</m:t>
                  </m:r>
                </m:e>
              </m:rad>
            </m:oMath>
            <w:r>
              <w:t xml:space="preserve"> </w:t>
            </w:r>
            <w:r>
              <w:t xml:space="preserve">and</w:t>
            </w:r>
            <w:r>
              <w:t xml:space="preserve"> </w:t>
            </w:r>
            <m:oMath>
              <m:r>
                <m:t>y</m:t>
              </m:r>
              <m:r>
                <m:rPr>
                  <m:sty m:val="p"/>
                </m:rPr>
                <m:t>=</m:t>
              </m:r>
              <m:rad>
                <m:radPr>
                  <m:degHide m:val="1"/>
                </m:radPr>
                <m:deg/>
                <m:e>
                  <m:r>
                    <m:rPr>
                      <m:sty m:val="p"/>
                    </m:rPr>
                    <m:t>−</m:t>
                  </m:r>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Cs/>
          <w:b/>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p>
    <w:p>
      <w:pPr>
        <w:pStyle w:val="BodyText"/>
      </w:pPr>
      <w:hyperlink r:id="rId24">
        <w:r>
          <w:rPr>
            <w:rStyle w:val="Hyperlink"/>
          </w:rPr>
          <w:t xml:space="preserve">For more on the proof of the quadratic formula, please go to Proof: The quadratic formula</w:t>
        </w:r>
      </w:hyperlink>
      <w:r>
        <w:t xml:space="preserve">.</w:t>
      </w:r>
    </w:p>
    <w:bookmarkStart w:id="49" w:name="version-history-and-licensing"/>
    <w:p>
      <w:pPr>
        <w:pStyle w:val="Heading2"/>
      </w:pPr>
      <w:r>
        <w:t xml:space="preserve">Version history and licensing</w:t>
      </w:r>
    </w:p>
    <w:p>
      <w:pPr>
        <w:pStyle w:val="FirstParagraph"/>
      </w:pPr>
      <w:r>
        <w:t xml:space="preserve">v1.0: initial version created 06/23 by tdhc.</w:t>
      </w:r>
    </w:p>
    <w:p>
      <w:pPr>
        <w:numPr>
          <w:ilvl w:val="0"/>
          <w:numId w:val="1002"/>
        </w:numPr>
        <w:pStyle w:val="Compact"/>
      </w:pPr>
      <w:r>
        <w:t xml:space="preserve">v1.1: edited 04/24 by tdhc.</w:t>
      </w:r>
    </w:p>
    <w:p>
      <w:pPr>
        <w:pStyle w:val="FirstParagraph"/>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2024-08-25T10:52:04Z</dcterms:created>
  <dcterms:modified xsi:type="dcterms:W3CDTF">2024-08-25T10:52:04Z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FiguresPNG/quadraticformula-image.png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