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Cs/>
          <w:b/>
        </w:rPr>
        <w:t xml:space="preserve">Radians</w:t>
      </w:r>
      <w:r>
        <w:t xml:space="preserve">, like degrees are a way of measuring the size of angles and can often be identified by the presence of</w:t>
      </w:r>
      <w:r>
        <w:t xml:space="preserve"> </w:t>
      </w:r>
      <m:oMath>
        <m:r>
          <m:t>π</m:t>
        </m:r>
      </m:oMath>
      <w:r>
        <w:rPr>
          <w:bCs/>
          <w:b/>
        </w:rPr>
        <w:t xml:space="preserve">.</w:t>
      </w:r>
    </w:p>
    <w:p>
      <w:pPr>
        <w:pStyle w:val="BodyText"/>
      </w:pPr>
      <w:r>
        <w:t xml:space="preserve">Radians are the SI unit for angles derived from the</w:t>
      </w:r>
      <w:r>
        <w:t xml:space="preserve"> </w:t>
      </w:r>
      <w:r>
        <w:rPr>
          <w:bCs/>
          <w:b/>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Cs/>
          <w:b/>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Cs/>
          <w:i/>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Cs/>
          <w:b/>
        </w:rPr>
        <w:t xml:space="preserve">arcs</w:t>
      </w:r>
      <w:r>
        <w:t xml:space="preserve"> </w:t>
      </w:r>
      <w:r>
        <w:t xml:space="preserve">and</w:t>
      </w:r>
      <w:r>
        <w:t xml:space="preserve"> </w:t>
      </w:r>
      <w:r>
        <w:rPr>
          <w:bCs/>
          <w:b/>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Cs/>
                <w:b/>
              </w:rPr>
              <w:t xml:space="preserve">circular arc</w:t>
            </w:r>
            <w:r>
              <w:t xml:space="preserve">, but this is usually shortened to</w:t>
            </w:r>
            <w:r>
              <w:t xml:space="preserve"> </w:t>
            </w:r>
            <w:r>
              <w:rPr>
                <w:bCs/>
                <w:b/>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Cs/>
                <w:b/>
              </w:rPr>
              <w:t xml:space="preserve">circle</w:t>
            </w:r>
            <w:r>
              <w:t xml:space="preserve"> </w:t>
            </w:r>
            <w:r>
              <w:t xml:space="preserve">does not include the interior of the circle. A circle together with its interior is called a</w:t>
            </w:r>
            <w:r>
              <w:t xml:space="preserve"> </w:t>
            </w:r>
            <w:r>
              <w:rPr>
                <w:bCs/>
                <w:b/>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ook w:firstRow="0" w:lastRow="0" w:firstColumn="0" w:lastColumn="0" w:noHBand="0" w:noVBand="0" w:val="0000"/>
        <w:jc w:val="start"/>
      </w:tblPr>
      <w:tblGrid>
        <w:gridCol w:w="7920"/>
      </w:tblGrid>
      <w:tr>
        <w:tc>
          <w:tcPr/>
          <w:bookmarkStart w:id="32" w:name="fig-circulararc"/>
          <w:p>
            <w:pPr>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Cs/>
                <w:b/>
              </w:rPr>
              <w:t xml:space="preserve">circular sector</w:t>
            </w:r>
            <w:r>
              <w:t xml:space="preserve">, but this is usually shortened to</w:t>
            </w:r>
            <w:r>
              <w:t xml:space="preserve"> </w:t>
            </w:r>
            <w:r>
              <w:rPr>
                <w:bCs/>
                <w:b/>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0" w:name="fig-circularsector"/>
          <w:p>
            <w:pPr>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Cs/>
          <w:b/>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Cs/>
                <w:b/>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ook w:firstRow="0" w:lastRow="0" w:firstColumn="0" w:lastColumn="0" w:noHBand="0" w:noVBand="0" w:val="0000"/>
        <w:jc w:val="start"/>
      </w:tblPr>
      <w:tblGrid>
        <w:gridCol w:w="7920"/>
      </w:tblGrid>
      <w:tr>
        <w:tc>
          <w:tcPr/>
          <w:bookmarkStart w:id="48" w:name="fig-radian"/>
          <w:p>
            <w:pPr>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ook w:firstRow="0" w:lastRow="0" w:firstColumn="0" w:lastColumn="0" w:noHBand="0" w:noVBand="0" w:val="0000"/>
        <w:jc w:val="start"/>
      </w:tblPr>
      <w:tblGrid>
        <w:gridCol w:w="7920"/>
      </w:tblGrid>
      <w:tr>
        <w:tc>
          <w:tcPr/>
          <w:bookmarkStart w:id="52" w:name="fig-twopi"/>
          <w:p>
            <w:pPr>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numPr>
                <w:ilvl w:val="0"/>
                <w:numId w:val="1001"/>
              </w:numPr>
              <w:pStyle w:val="Compact"/>
            </w:pPr>
            <w:r>
              <w:t xml:space="preserve">Multiply the angle in degrees by</w:t>
            </w:r>
            <w:r>
              <w:t xml:space="preserve"> </w:t>
            </w:r>
            <m:oMath>
              <m:r>
                <m:t>π</m:t>
              </m:r>
            </m:oMath>
          </w:p>
          <w:p>
            <w:pPr>
              <w:numPr>
                <w:ilvl w:val="0"/>
                <w:numId w:val="1001"/>
              </w:numPr>
              <w:pStyle w:val="Compact"/>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Cs/>
                <w:b/>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numPr>
                <w:ilvl w:val="0"/>
                <w:numId w:val="1002"/>
              </w:numPr>
              <w:pStyle w:val="Compact"/>
            </w:pPr>
            <w:r>
              <w:t xml:space="preserve">Multiplying by</w:t>
            </w:r>
            <w:r>
              <w:t xml:space="preserve"> </w:t>
            </w:r>
            <m:oMath>
              <m:r>
                <m:t>π</m:t>
              </m:r>
            </m:oMath>
            <w:r>
              <w:t xml:space="preserve"> </w:t>
            </w:r>
            <w:r>
              <w:t xml:space="preserve">gives</w:t>
            </w:r>
            <w:r>
              <w:t xml:space="preserve"> </w:t>
            </w:r>
            <m:oMath>
              <m:r>
                <m:t>180</m:t>
              </m:r>
              <m:r>
                <m:t>π</m:t>
              </m:r>
            </m:oMath>
          </w:p>
          <w:p>
            <w:pPr>
              <w:numPr>
                <w:ilvl w:val="0"/>
                <w:numId w:val="1002"/>
              </w:numPr>
              <w:pStyle w:val="Compact"/>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numPr>
                <w:ilvl w:val="0"/>
                <w:numId w:val="1003"/>
              </w:numPr>
              <w:pStyle w:val="Compact"/>
            </w:pPr>
            <w:r>
              <w:t xml:space="preserve">Multiplying by</w:t>
            </w:r>
            <w:r>
              <w:t xml:space="preserve"> </w:t>
            </w:r>
            <m:oMath>
              <m:r>
                <m:t>π</m:t>
              </m:r>
            </m:oMath>
            <w:r>
              <w:t xml:space="preserve"> </w:t>
            </w:r>
            <w:r>
              <w:t xml:space="preserve">gives</w:t>
            </w:r>
            <w:r>
              <w:t xml:space="preserve"> </w:t>
            </w:r>
            <m:oMath>
              <m:r>
                <m:t>45</m:t>
              </m:r>
              <m:r>
                <m:t>π</m:t>
              </m:r>
            </m:oMath>
          </w:p>
          <w:p>
            <w:pPr>
              <w:numPr>
                <w:ilvl w:val="0"/>
                <w:numId w:val="1003"/>
              </w:numPr>
              <w:pStyle w:val="Compact"/>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Cs/>
                <w:b/>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numPr>
                <w:ilvl w:val="0"/>
                <w:numId w:val="1004"/>
              </w:numPr>
              <w:pStyle w:val="Compact"/>
            </w:pPr>
            <w:r>
              <w:t xml:space="preserve">Multiply the angle in radians by</w:t>
            </w:r>
            <w:r>
              <w:t xml:space="preserve"> </w:t>
            </w:r>
            <m:oMath>
              <m:r>
                <m:t>180</m:t>
              </m:r>
            </m:oMath>
          </w:p>
          <w:p>
            <w:pPr>
              <w:numPr>
                <w:ilvl w:val="0"/>
                <w:numId w:val="1004"/>
              </w:numPr>
              <w:pStyle w:val="Compact"/>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numPr>
                <w:ilvl w:val="0"/>
                <w:numId w:val="1005"/>
              </w:numPr>
              <w:pStyle w:val="Compact"/>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numPr>
                <w:ilvl w:val="0"/>
                <w:numId w:val="1005"/>
              </w:numPr>
              <w:pStyle w:val="Compact"/>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numPr>
                <w:ilvl w:val="0"/>
                <w:numId w:val="1006"/>
              </w:numPr>
              <w:pStyle w:val="Compact"/>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numPr>
                <w:ilvl w:val="0"/>
                <w:numId w:val="1006"/>
              </w:numPr>
              <w:pStyle w:val="Compact"/>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ook w:firstRow="1" w:lastRow="0" w:firstColumn="0" w:lastColumn="0" w:noHBand="0" w:noVBand="0" w:val="0020"/>
        <w:jc w:val="start"/>
      </w:tblPr>
      <w:tblGrid>
        <w:gridCol w:w="1545"/>
        <w:gridCol w:w="579"/>
        <w:gridCol w:w="579"/>
        <w:gridCol w:w="579"/>
        <w:gridCol w:w="579"/>
        <w:gridCol w:w="579"/>
        <w:gridCol w:w="579"/>
        <w:gridCol w:w="579"/>
        <w:gridCol w:w="579"/>
        <w:gridCol w:w="579"/>
        <w:gridCol w:w="579"/>
        <w:gridCol w:w="579"/>
      </w:tblGrid>
      <w:tr>
        <w:trPr>
          <w:tblHeader w:val="true"/>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numPr>
          <w:ilvl w:val="0"/>
          <w:numId w:val="1007"/>
        </w:numPr>
        <w:pStyle w:val="Compact"/>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numPr>
          <w:ilvl w:val="0"/>
          <w:numId w:val="1009"/>
        </w:numPr>
        <w:pStyle w:val="Compact"/>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numPr>
          <w:ilvl w:val="0"/>
          <w:numId w:val="1011"/>
        </w:numPr>
        <w:pStyle w:val="Compact"/>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7"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6" w:name="version-history"/>
    <w:p>
      <w:pPr>
        <w:pStyle w:val="Heading2"/>
      </w:pPr>
      <w:r>
        <w:t xml:space="preserve">Version history</w:t>
      </w:r>
    </w:p>
    <w:p>
      <w:pPr>
        <w:pStyle w:val="FirstParagraph"/>
      </w:pPr>
      <w:r>
        <w:t xml:space="preserve">v1.0: initial version created 08/23 by Ifan Howells-Baines and Mark Toner as part of a University of St Andrews STEP project.</w:t>
      </w:r>
    </w:p>
    <w:p>
      <w:pPr>
        <w:numPr>
          <w:ilvl w:val="0"/>
          <w:numId w:val="1013"/>
        </w:numPr>
        <w:pStyle w:val="Compact"/>
      </w:pPr>
      <w:r>
        <w:t xml:space="preserve">v1.1: edited 04/24 by TC.</w:t>
      </w:r>
    </w:p>
    <w:bookmarkEnd w:id="86"/>
    <w:bookmarkEnd w:id="8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2024-08-20T14:33:25Z</dcterms:created>
  <dcterms:modified xsi:type="dcterms:W3CDTF">2024-08-20T14:33:25Z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FiguresPNG/radians-image.png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