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Cs/>
          <w:i/>
        </w:rPr>
        <w:t xml:space="preserve">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before reading this guide. In addition,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Logarithms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This guide assumes an excellent knowledge of the laws of indices. Please make sure that you have read</w:t>
            </w:r>
            <w:r>
              <w:rPr>
                <w:bCs/>
                <w:b/>
              </w:rPr>
              <w:t xml:space="preserve"> </w:t>
            </w:r>
            <w:hyperlink r:id="rId20">
              <w:r>
                <w:rPr>
                  <w:rStyle w:val="Hyperlink"/>
                  <w:bCs/>
                  <w:b/>
                </w:rPr>
                <w:t xml:space="preserve">Guide: Laws of indices</w:t>
              </w:r>
            </w:hyperlink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Cs/>
          <w:i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Cs/>
          <w:b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Cs/>
                <w:b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Cs/>
                <w:i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2024-08-25T11:22:01Z</dcterms:created>
  <dcterms:modified xsi:type="dcterms:W3CDTF">2024-08-25T11:22:01Z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