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Cs/>
          <w:i/>
        </w:rPr>
        <w:t xml:space="preserve">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before reading this guide. In addition,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Logarithms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This guide assumes an excellent knowledge of the laws of indices. Please make sure that you have read</w:t>
            </w:r>
            <w:r>
              <w:rPr>
                <w:bCs/>
                <w:b/>
              </w:rPr>
              <w:t xml:space="preserve"> </w:t>
            </w:r>
            <w:hyperlink r:id="rId20">
              <w:r>
                <w:rPr>
                  <w:rStyle w:val="Hyperlink"/>
                  <w:bCs/>
                  <w:b/>
                </w:rPr>
                <w:t xml:space="preserve">Guide: Laws of indices</w:t>
              </w:r>
            </w:hyperlink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Cs/>
          <w:i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Cs/>
          <w:b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Cs/>
                <w:b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1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1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Cs/>
                <w:i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Cs/>
                <w:b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numPr>
          <w:ilvl w:val="0"/>
          <w:numId w:val="1002"/>
        </w:numPr>
        <w:pStyle w:val="Compact"/>
      </w:pPr>
      <w:r>
        <w:t xml:space="preserve">v1.1: edited 04/24 by TC.</w:t>
      </w:r>
    </w:p>
    <w:bookmarkEnd w:id="63"/>
    <w:bookmarkEnd w:id="6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2024-08-20T14:32:19Z</dcterms:created>
  <dcterms:modified xsi:type="dcterms:W3CDTF">2024-08-20T14:32:19Z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FiguresPNG/solvingeqsindices-image.png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